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3717" w14:textId="7F33A73D" w:rsidR="005061F8" w:rsidRDefault="005061F8"/>
    <w:p w14:paraId="7BA3BFB3" w14:textId="14E14830" w:rsidR="00A854CD" w:rsidRPr="00A854CD" w:rsidRDefault="00A854CD" w:rsidP="00A854CD">
      <w:pPr>
        <w:jc w:val="center"/>
        <w:rPr>
          <w:b/>
          <w:bCs/>
        </w:rPr>
      </w:pPr>
      <w:bookmarkStart w:id="0" w:name="_Hlk61796396"/>
      <w:r w:rsidRPr="00A854CD">
        <w:rPr>
          <w:b/>
          <w:bCs/>
        </w:rPr>
        <w:t>OPIS PRZEDMIOTU ZAMÓWIENIA</w:t>
      </w:r>
    </w:p>
    <w:p w14:paraId="219B062C" w14:textId="525D535B" w:rsidR="00A854CD" w:rsidRDefault="00A854CD" w:rsidP="00A854CD">
      <w:pPr>
        <w:jc w:val="center"/>
        <w:rPr>
          <w:b/>
          <w:bCs/>
        </w:rPr>
      </w:pPr>
      <w:r w:rsidRPr="00A854CD">
        <w:rPr>
          <w:b/>
          <w:bCs/>
        </w:rPr>
        <w:t>SIWZ CZĘŚĆ III</w:t>
      </w:r>
    </w:p>
    <w:p w14:paraId="6153B774" w14:textId="7EDC4D8C" w:rsidR="00033D01" w:rsidRPr="00A854CD" w:rsidRDefault="00033D01" w:rsidP="00A854CD">
      <w:pPr>
        <w:jc w:val="center"/>
        <w:rPr>
          <w:b/>
          <w:bCs/>
        </w:rPr>
      </w:pPr>
      <w:r w:rsidRPr="00033D01">
        <w:rPr>
          <w:b/>
          <w:bCs/>
          <w:highlight w:val="yellow"/>
        </w:rPr>
        <w:t>MODYFIKACJA Z DNIA 18.01.2021 r.</w:t>
      </w:r>
    </w:p>
    <w:p w14:paraId="5976528F" w14:textId="77777777" w:rsidR="00A854CD" w:rsidRDefault="00A854CD"/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6780"/>
        <w:gridCol w:w="765"/>
        <w:gridCol w:w="765"/>
      </w:tblGrid>
      <w:tr w:rsidR="005061F8" w:rsidRPr="00A854CD" w14:paraId="6501C2BC" w14:textId="77777777">
        <w:trPr>
          <w:trHeight w:val="42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2C4B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6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2944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Nazwa / rodzaj urządzenia</w:t>
            </w:r>
          </w:p>
        </w:tc>
        <w:tc>
          <w:tcPr>
            <w:tcW w:w="15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EA00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Ilość</w:t>
            </w:r>
          </w:p>
        </w:tc>
      </w:tr>
      <w:tr w:rsidR="005061F8" w:rsidRPr="00A854CD" w14:paraId="384E8AE0" w14:textId="77777777">
        <w:trPr>
          <w:trHeight w:val="420"/>
        </w:trPr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A41B" w14:textId="5D250B24" w:rsidR="005061F8" w:rsidRPr="00A854CD" w:rsidRDefault="00A85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31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524F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Sale Projektowe</w:t>
            </w:r>
          </w:p>
        </w:tc>
      </w:tr>
      <w:tr w:rsidR="005061F8" w:rsidRPr="00A854CD" w14:paraId="2182A6D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75B0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0EA9" w14:textId="4107A7A4" w:rsidR="005061F8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Monitor (przekątna ekranu: 55 cali, rozdzielczość min. 1920x1080, Jasność: min. 300 cd/m2, złącza: 3x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2x USB, 1xLAN, żywotność: min. </w:t>
            </w:r>
            <w:r w:rsidR="00033D01" w:rsidRPr="00033D01">
              <w:rPr>
                <w:rFonts w:ascii="Verdana" w:hAnsi="Verdana"/>
                <w:sz w:val="18"/>
                <w:szCs w:val="18"/>
                <w:highlight w:val="yellow"/>
              </w:rPr>
              <w:t>5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0 000 godz</w:t>
            </w:r>
            <w:r w:rsidRPr="00A854CD">
              <w:rPr>
                <w:rFonts w:ascii="Verdana" w:hAnsi="Verdana"/>
                <w:sz w:val="18"/>
                <w:szCs w:val="18"/>
              </w:rPr>
              <w:t>., standard montażu: VESA)</w:t>
            </w:r>
          </w:p>
          <w:p w14:paraId="39271F8A" w14:textId="77777777" w:rsidR="00033D01" w:rsidRDefault="00033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Zamawiający dopuszcza zastosowanie monitora bez złącza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. W takim przypadku w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 celu wyświetlenia sygnału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 na monitorze 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Wykonawca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 dostarcz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y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 odpowiedni konwerter i 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wepnie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 w jedno z trzech złącz HDMI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02D9B144" w14:textId="56A6AB3F" w:rsidR="00033D01" w:rsidRPr="00A854CD" w:rsidRDefault="00033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Zamawiający dopuszcza zastosowanie monitora ze złączami 2x HDMI, 1x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, 1x USB, 1x LAN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2663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960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7BB2A26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5C7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387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</w:t>
            </w:r>
            <w:r w:rsidRPr="00A854CD">
              <w:rPr>
                <w:rFonts w:ascii="Verdana" w:hAnsi="Verdana"/>
                <w:sz w:val="18"/>
                <w:szCs w:val="18"/>
              </w:rPr>
              <w:br/>
              <w:t>góra - dół, na boki, regulowana odległość od ściany)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2083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3D26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15D72BB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6F0B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B01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Złącze 1x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 we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696B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27A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2E8F1E7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2E31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088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Tablica stojąca dwustronna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suchościeralna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, magnetyczna, obrotowo-jezdna min. 80 cali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37A1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D674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62DE9C07" w14:textId="77777777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C506" w14:textId="57A6419E" w:rsidR="005061F8" w:rsidRPr="00A854CD" w:rsidRDefault="00A854CD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31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5272" w14:textId="77777777" w:rsidR="005061F8" w:rsidRPr="00A854CD" w:rsidRDefault="00F01BFC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Sale Szkoleniowe</w:t>
            </w:r>
          </w:p>
        </w:tc>
      </w:tr>
      <w:tr w:rsidR="005061F8" w:rsidRPr="00A854CD" w14:paraId="14FD44B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B6BA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33A8" w14:textId="77777777" w:rsidR="005061F8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Tablica interaktywna (min. 65 cali, rozdzielczość min. 4K, ekran dotykowy, złącza min. 1x HDMI, 1x Ethernet, komunikacja bezprzewodowa, współpraca z oprogramowaniem do wideokonferencji (m. in. Zoom, Cisco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Webex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MS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Teams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/Skype), możliwość przeprowadzenia wideokonferencji (kamera + mikrofon - wbudowana lub opcja podłączenia zewnętrznych urządzeń) + zestaw montażowy ścienny</w:t>
            </w:r>
          </w:p>
          <w:p w14:paraId="62B2AC8C" w14:textId="27F19E1A" w:rsidR="00033D01" w:rsidRPr="00A854CD" w:rsidRDefault="00033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Zamawiający dopuszcza również dostawę niezależnych urządzeń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 (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monitor dotykowy, kamera, mikrofon, komputer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)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 jako komplet. Ważne jest jednak, aby zestaw ten spełniał funkcjonalne założenia dotyczące wideokonferencji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72CA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99DB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599AA40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133A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7182" w14:textId="4E7867D4" w:rsidR="005061F8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Monitor (przekątna ekranu: 65 cali, rozdzielczość min. 4K, Jasność: min. 300 cd/m2, złącza: 3x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2x USB, 1xLAN, żywotność: min. </w:t>
            </w:r>
            <w:r w:rsidR="00033D01" w:rsidRPr="00033D01">
              <w:rPr>
                <w:rFonts w:ascii="Verdana" w:hAnsi="Verdana"/>
                <w:sz w:val="18"/>
                <w:szCs w:val="18"/>
                <w:highlight w:val="yellow"/>
              </w:rPr>
              <w:t>5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0 000</w:t>
            </w:r>
            <w:r w:rsidRPr="00A854CD">
              <w:rPr>
                <w:rFonts w:ascii="Verdana" w:hAnsi="Verdana"/>
                <w:sz w:val="18"/>
                <w:szCs w:val="18"/>
              </w:rPr>
              <w:t xml:space="preserve"> godz., standard montażu: VESA)</w:t>
            </w:r>
          </w:p>
          <w:p w14:paraId="7751D12C" w14:textId="77777777" w:rsidR="00033D01" w:rsidRDefault="00033D01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Zamawiający dopuszcza zastosowanie monitora bez złącza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.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 W takim przypadku w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 celu wyświetlenia sygnału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 na monitorze 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Wykonawca dos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tarczy odpowiedni konwerter i 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wepnie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 w jedno z trzech złącz HDMI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4F45689E" w14:textId="4C20C0B9" w:rsidR="00033D01" w:rsidRPr="00A854CD" w:rsidRDefault="00033D01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Zamawiający dopuszcza zastosowanie monitora z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e 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złączami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: 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2x HDMI, 1x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, 1x USB, 1x LAN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595B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B75F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64D5B10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BB2B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1D50" w14:textId="77777777" w:rsidR="005061F8" w:rsidRPr="00A854CD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+ 25% zapasu, typ uchwytu: ruchomy (w zakresie:</w:t>
            </w:r>
            <w:r w:rsidRPr="00A854CD">
              <w:rPr>
                <w:rFonts w:ascii="Verdana" w:hAnsi="Verdana"/>
                <w:sz w:val="18"/>
                <w:szCs w:val="18"/>
              </w:rPr>
              <w:br/>
              <w:t>góra - dół, na boki, regulowana odległość od ściany)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64DA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AA0E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07AC330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407E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11A3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1x HDMI, format obrazu: min. 16:9; opcjonalnie dodatkowo 16:10, 4:3)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A1C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7FF1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1702A39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F573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2F6B" w14:textId="77777777" w:rsidR="005061F8" w:rsidRPr="00A854CD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2x HDMI, format obrazu: min. 16:9; opcjonalnie dodatkowo 16:10, 4:3)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F26A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9E7C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7DC3C6B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6F3B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1E0C" w14:textId="77777777" w:rsidR="005061F8" w:rsidRPr="00A854CD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969E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E039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69FF5ED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5CC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39B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6816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E8BD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0BF7478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698D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FAFA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Panel sterowania: roletami/zasłonami, światłem, projektorem, ekranem projekcyjnym, blisko prowadzącego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F780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C98F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3D081890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7C1C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0521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Złącze 2x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 w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stole - 2 komplety na salę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9D5B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61C9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2568050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1D2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875B" w14:textId="2A576580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System </w:t>
            </w:r>
            <w:r w:rsidR="000B3FD5" w:rsidRPr="00A854CD">
              <w:rPr>
                <w:rFonts w:ascii="Verdana" w:hAnsi="Verdana"/>
                <w:sz w:val="18"/>
                <w:szCs w:val="18"/>
              </w:rPr>
              <w:t xml:space="preserve">(urządzenie z oprogramowaniem) </w:t>
            </w:r>
            <w:r w:rsidRPr="00A854CD">
              <w:rPr>
                <w:rFonts w:ascii="Verdana" w:hAnsi="Verdana"/>
                <w:sz w:val="18"/>
                <w:szCs w:val="18"/>
              </w:rPr>
              <w:t>bezprzewodowego łączenia się z projektorem i telewizorem za pomocą przekaźników na USB (rozdzielczość min. 1920x1080, złącza min. 1x HDMI, załączone oprogramowanie do sterowania systemem, min. 4 przekaźniki USB)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A9C5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99C5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71DC573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2ED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EE20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Nagłośnienie sufitowe: </w:t>
            </w:r>
          </w:p>
          <w:p w14:paraId="64523889" w14:textId="77777777" w:rsidR="005061F8" w:rsidRPr="00A854CD" w:rsidRDefault="00F01B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odbiornik dla głośników</w:t>
            </w:r>
          </w:p>
          <w:p w14:paraId="414FC3CD" w14:textId="77777777" w:rsidR="005061F8" w:rsidRPr="00A854CD" w:rsidRDefault="00F01B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4 głośniki sufitowe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55C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B57E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061F8" w:rsidRPr="00A854CD" w14:paraId="69BBBE6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053E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E5C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747FDD5B" w14:textId="77777777" w:rsidR="005061F8" w:rsidRPr="00A854CD" w:rsidRDefault="00F01BF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odbiornik dla mikrofonów</w:t>
            </w:r>
          </w:p>
          <w:p w14:paraId="685BD2A2" w14:textId="77777777" w:rsidR="005061F8" w:rsidRPr="00A854CD" w:rsidRDefault="00F01BF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1 mikrofon typu Hand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25AC8451" w14:textId="77777777" w:rsidR="005061F8" w:rsidRPr="00A854CD" w:rsidRDefault="00F01BF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1 mikrofon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“krawatowy” wraz z nadajnikiem 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EDBE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7575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061F8" w:rsidRPr="00A854CD" w14:paraId="2C23349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865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18E0" w14:textId="59C9E0DE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System do telekonferencji ( 16 mikrofonów na stole, kamera, zintegrowane z tablicą multimedialn</w:t>
            </w:r>
            <w:r w:rsidR="00163046" w:rsidRPr="00A854CD">
              <w:rPr>
                <w:rFonts w:ascii="Verdana" w:hAnsi="Verdana"/>
                <w:sz w:val="18"/>
                <w:szCs w:val="18"/>
              </w:rPr>
              <w:t>ą/projektorem</w:t>
            </w:r>
            <w:r w:rsidRPr="00A854C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85B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90A1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3BB87470" w14:textId="77777777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AFB1" w14:textId="0DDAAA4F" w:rsidR="005061F8" w:rsidRPr="00A854CD" w:rsidRDefault="00A854CD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831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F889" w14:textId="77777777" w:rsidR="005061F8" w:rsidRPr="00A854CD" w:rsidRDefault="00F01BFC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Sala Reprezentatywna</w:t>
            </w:r>
          </w:p>
        </w:tc>
      </w:tr>
      <w:tr w:rsidR="005061F8" w:rsidRPr="00A854CD" w14:paraId="60EDF1C0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D045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62F9" w14:textId="77777777" w:rsidR="00851042" w:rsidRPr="00A854CD" w:rsidRDefault="0085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Ściana multimedialna (ściana wideo)</w:t>
            </w:r>
          </w:p>
          <w:p w14:paraId="02144820" w14:textId="72C14FDC" w:rsidR="005061F8" w:rsidRDefault="00F01BFC" w:rsidP="0085104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Monitory bezszwowe</w:t>
            </w:r>
            <w:r w:rsidR="005C5C3D" w:rsidRPr="00A854CD">
              <w:rPr>
                <w:rFonts w:ascii="Verdana" w:hAnsi="Verdana"/>
                <w:sz w:val="18"/>
                <w:szCs w:val="18"/>
              </w:rPr>
              <w:t xml:space="preserve"> 24 szt.</w:t>
            </w:r>
            <w:r w:rsidRPr="00A854CD">
              <w:rPr>
                <w:rFonts w:ascii="Verdana" w:hAnsi="Verdana"/>
                <w:sz w:val="18"/>
                <w:szCs w:val="18"/>
              </w:rPr>
              <w:t xml:space="preserve"> (55 cali, panel IPS RGB, rozdzielczość min. 1920x1080, jasność min. 500 cd/m2, tryb pracy 24/7, ramka po złączeniu monitorów max. 3,5 mm (góra, dół, lewo, prawo), wejście i wyjście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wejście i wyjście LAN, możliwość zdalnej diagnostyki, wbudowana platforma informacji wizualnej, żywotność nie mniej niż </w:t>
            </w:r>
            <w:r w:rsidR="00033D01" w:rsidRPr="00033D01">
              <w:rPr>
                <w:rFonts w:ascii="Verdana" w:hAnsi="Verdana"/>
                <w:sz w:val="18"/>
                <w:szCs w:val="18"/>
                <w:highlight w:val="yellow"/>
              </w:rPr>
              <w:t>5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0 000</w:t>
            </w:r>
            <w:r w:rsidRPr="00A854CD">
              <w:rPr>
                <w:rFonts w:ascii="Verdana" w:hAnsi="Verdana"/>
                <w:sz w:val="18"/>
                <w:szCs w:val="18"/>
              </w:rPr>
              <w:t xml:space="preserve"> godzin, kalibracja kolorów w poszczególnych monitorach, jak również różnic właściwości między połączonymi monitorami</w:t>
            </w:r>
            <w:r w:rsidR="00851042" w:rsidRPr="00A854C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33A8561" w14:textId="3CCB1465" w:rsidR="00033D01" w:rsidRPr="00A854CD" w:rsidRDefault="00BA51A5" w:rsidP="00033D01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Fonts w:ascii="Verdana" w:hAnsi="Verdana"/>
                <w:sz w:val="18"/>
                <w:szCs w:val="18"/>
              </w:rPr>
            </w:pPr>
            <w:r w:rsidRPr="00BA51A5">
              <w:rPr>
                <w:rFonts w:ascii="Verdana" w:hAnsi="Verdana"/>
                <w:sz w:val="18"/>
                <w:szCs w:val="18"/>
                <w:highlight w:val="yellow"/>
              </w:rPr>
              <w:t>Zamawiający dopuszcza monitor bezszwowy z 1 złączem LAN .</w:t>
            </w:r>
          </w:p>
          <w:p w14:paraId="03B3988B" w14:textId="77777777" w:rsidR="00851042" w:rsidRPr="00A854CD" w:rsidRDefault="00851042" w:rsidP="0085104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Rozmieszczenie monitorów – 3 w pionie, 8 w poziomie</w:t>
            </w:r>
          </w:p>
          <w:p w14:paraId="7E7CF870" w14:textId="77777777" w:rsidR="00851042" w:rsidRPr="00A854CD" w:rsidRDefault="00851042" w:rsidP="0085104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Konstrukcja montażowa ściany graficznej z uchwytami montażowymi typu pop-out do monitorów</w:t>
            </w:r>
          </w:p>
          <w:p w14:paraId="3379B6EC" w14:textId="51782BB4" w:rsidR="00851042" w:rsidRPr="00A854CD" w:rsidRDefault="00851042" w:rsidP="0085104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Kompletny system z urządzeniami typu konwertery do odtwarzania treści i zarządzania ścianą wideo:</w:t>
            </w:r>
          </w:p>
          <w:p w14:paraId="4DED21DB" w14:textId="77777777" w:rsidR="00851042" w:rsidRPr="00A854CD" w:rsidRDefault="00851042" w:rsidP="00851042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Możliwość wyświetlania obrazu w różnych konfiguracjach:</w:t>
            </w:r>
          </w:p>
          <w:p w14:paraId="25053BAC" w14:textId="4DE1884C" w:rsidR="00851042" w:rsidRPr="00A854CD" w:rsidRDefault="00851042" w:rsidP="00851042">
            <w:pPr>
              <w:pStyle w:val="Akapitzlist"/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Cały ekran – obraz z jednego urządzenia powiększony na wszystkie 24 monitory</w:t>
            </w:r>
          </w:p>
          <w:p w14:paraId="21319197" w14:textId="2B8834F3" w:rsidR="00851042" w:rsidRPr="00A854CD" w:rsidRDefault="00851042" w:rsidP="00851042">
            <w:pPr>
              <w:pStyle w:val="Akapitzlist"/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Pół ekranu – obraz z jednego urządzenia powiększony na 12 monitorów. Możliwość odtwarzania z dwóch urządzeń jednocześnie (połowa ściany wideo na jedno urządzenie) </w:t>
            </w:r>
          </w:p>
          <w:p w14:paraId="6A5E7557" w14:textId="7696FE21" w:rsidR="00851042" w:rsidRPr="00A854CD" w:rsidRDefault="00851042" w:rsidP="00851042">
            <w:pPr>
              <w:pStyle w:val="Akapitzlist"/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1/4 ekranu – obraz z jednego urządzenia powiększony na 6 monitorów. Możliwość odtwarzania z czterech urządzeń jednocześnie (1/4 ściany wideo na jedno urządzenie)</w:t>
            </w:r>
          </w:p>
          <w:p w14:paraId="2C14D4D0" w14:textId="7635A39B" w:rsidR="00851042" w:rsidRPr="00A854CD" w:rsidRDefault="00851042" w:rsidP="00851042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Możliwość podłączenia do urządzeń poprzez port HDMI</w:t>
            </w:r>
            <w:r w:rsidR="005C5C3D" w:rsidRPr="00A854CD">
              <w:rPr>
                <w:rFonts w:ascii="Verdana" w:hAnsi="Verdana"/>
                <w:sz w:val="18"/>
                <w:szCs w:val="18"/>
              </w:rPr>
              <w:t xml:space="preserve"> (plug &amp; </w:t>
            </w:r>
            <w:proofErr w:type="spellStart"/>
            <w:r w:rsidR="005C5C3D" w:rsidRPr="00A854CD">
              <w:rPr>
                <w:rFonts w:ascii="Verdana" w:hAnsi="Verdana"/>
                <w:sz w:val="18"/>
                <w:szCs w:val="18"/>
              </w:rPr>
              <w:t>play</w:t>
            </w:r>
            <w:proofErr w:type="spellEnd"/>
            <w:r w:rsidR="005C5C3D" w:rsidRPr="00A854CD">
              <w:rPr>
                <w:rFonts w:ascii="Verdana" w:hAnsi="Verdana"/>
                <w:sz w:val="18"/>
                <w:szCs w:val="18"/>
              </w:rPr>
              <w:t>)</w:t>
            </w:r>
          </w:p>
          <w:p w14:paraId="79DDA9E6" w14:textId="0DC024BC" w:rsidR="00851042" w:rsidRPr="00A854CD" w:rsidRDefault="00851042" w:rsidP="00F76F51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Panel sterowania – sterowanie </w:t>
            </w:r>
            <w:r w:rsidR="00F76F51" w:rsidRPr="00A854CD">
              <w:rPr>
                <w:rFonts w:ascii="Verdana" w:hAnsi="Verdana"/>
                <w:sz w:val="18"/>
                <w:szCs w:val="18"/>
              </w:rPr>
              <w:t>całą ścianą wideo w</w:t>
            </w:r>
            <w:r w:rsidRPr="00A854CD">
              <w:rPr>
                <w:rFonts w:ascii="Verdana" w:hAnsi="Verdana"/>
                <w:sz w:val="18"/>
                <w:szCs w:val="18"/>
              </w:rPr>
              <w:t xml:space="preserve"> jednym </w:t>
            </w:r>
            <w:r w:rsidR="00F76F51" w:rsidRPr="00A854CD">
              <w:rPr>
                <w:rFonts w:ascii="Verdana" w:hAnsi="Verdana"/>
                <w:sz w:val="18"/>
                <w:szCs w:val="18"/>
              </w:rPr>
              <w:t>urządzeniu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DDA8" w14:textId="074BEF08" w:rsidR="005061F8" w:rsidRPr="00A854CD" w:rsidRDefault="0085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4EAB" w14:textId="1910DDCA" w:rsidR="005061F8" w:rsidRPr="00A854CD" w:rsidRDefault="0085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061F8" w:rsidRPr="00A854CD" w14:paraId="2717B3C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7801" w14:textId="03BC0FA0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3E40" w14:textId="2E32D260" w:rsidR="005061F8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Monitor (przekątna ekranu: 65 cali, rozdzielczość min. 4K, Jasność: min. 300 cd/m2, złącza: 3x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2x USB, 1xLAN, żywotność: min. </w:t>
            </w:r>
            <w:r w:rsidR="00BA51A5" w:rsidRPr="00BA51A5">
              <w:rPr>
                <w:rFonts w:ascii="Verdana" w:hAnsi="Verdana"/>
                <w:sz w:val="18"/>
                <w:szCs w:val="18"/>
                <w:highlight w:val="yellow"/>
              </w:rPr>
              <w:t>5</w:t>
            </w:r>
            <w:r w:rsidRPr="00BA51A5">
              <w:rPr>
                <w:rFonts w:ascii="Verdana" w:hAnsi="Verdana"/>
                <w:sz w:val="18"/>
                <w:szCs w:val="18"/>
                <w:highlight w:val="yellow"/>
              </w:rPr>
              <w:t>0 000</w:t>
            </w:r>
            <w:r w:rsidRPr="00A854CD">
              <w:rPr>
                <w:rFonts w:ascii="Verdana" w:hAnsi="Verdana"/>
                <w:sz w:val="18"/>
                <w:szCs w:val="18"/>
              </w:rPr>
              <w:t xml:space="preserve"> godz., standard montażu: VESA)</w:t>
            </w:r>
          </w:p>
          <w:p w14:paraId="2FF9ED2E" w14:textId="77777777" w:rsidR="00033D01" w:rsidRDefault="00033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Zamawiający dopuszcza zastosowanie monitora bez złącza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. W takim przypadku w celu wyświetlenia sygnału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 na monitorze Wykonawca dostarczy odpowiedni konwerter i wepnie w jedno z trzech złącz HDMI.</w:t>
            </w:r>
          </w:p>
          <w:p w14:paraId="72EFA9A8" w14:textId="2F219F96" w:rsidR="00033D01" w:rsidRPr="00A854CD" w:rsidRDefault="00033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Zamawiający dopuszcza zastosowanie monitora ze złączami: 2x HDMI, 1x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, 1x USB, 1x LAN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966D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D24D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0541871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CBE3" w14:textId="60FC18D0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AC71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laserowy (laserowe źródło światła, rozdzielczość: min. 1920x1080, jasność min. 3000Lm, żywotność: 10 000 godzin, technologia projekcji trzy panele LCD (3LCD), wejścia wideo: min. 1x HDMI, format obrazu: min. 16:9; opcjonalnie dodatkowo 16:10, 4:3)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30E3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330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02E1D5A5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0DEA" w14:textId="0A829C24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A952" w14:textId="77777777" w:rsidR="005061F8" w:rsidRPr="00A854CD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6410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9946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63BD4B8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CBCC" w14:textId="3516A991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151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3AB6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5CF7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11857EC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F459" w14:textId="7D9E1A78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DBAA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Złącza 2x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ethernet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we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prowadzącym przy ścianie wideo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E0CC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DC5C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55DF4A9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6B77" w14:textId="4B8AC4E4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7F89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Złącza 1x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ethernet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we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prowadzącym przy projektorze laserowym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734C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243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7DE47F7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53CE" w14:textId="779CC5B5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FFD1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System sterowania salą:</w:t>
            </w:r>
          </w:p>
          <w:p w14:paraId="1F5FEA0B" w14:textId="0CA005EA" w:rsidR="005061F8" w:rsidRPr="00A854CD" w:rsidRDefault="00F01B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dwa panele sterowania (panel przy ścianie wideo oraz na ścianie przeciwległej do ściany wideo</w:t>
            </w:r>
            <w:r w:rsidR="00163046" w:rsidRPr="00A854CD">
              <w:rPr>
                <w:rFonts w:ascii="Verdana" w:hAnsi="Verdana"/>
                <w:sz w:val="18"/>
                <w:szCs w:val="18"/>
              </w:rPr>
              <w:t>, przy projektorze laserowym</w:t>
            </w:r>
            <w:r w:rsidRPr="00A854CD">
              <w:rPr>
                <w:rFonts w:ascii="Verdana" w:hAnsi="Verdana"/>
                <w:sz w:val="18"/>
                <w:szCs w:val="18"/>
              </w:rPr>
              <w:t>)</w:t>
            </w:r>
          </w:p>
          <w:p w14:paraId="3DA257CD" w14:textId="77777777" w:rsidR="005061F8" w:rsidRPr="00A854CD" w:rsidRDefault="00F01B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oświetlenie</w:t>
            </w:r>
          </w:p>
          <w:p w14:paraId="180F28F8" w14:textId="77777777" w:rsidR="005061F8" w:rsidRPr="00A854CD" w:rsidRDefault="00F01B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zasłony/rolety - możliwość podziału na trzy strefy (cała sala, przód, tył)</w:t>
            </w:r>
          </w:p>
          <w:p w14:paraId="18A36F3D" w14:textId="77777777" w:rsidR="005061F8" w:rsidRPr="00A854CD" w:rsidRDefault="00F01B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wraz z ekranem projekcyjnym - panel na ścianie przeciwległej do ściany wideo</w:t>
            </w:r>
          </w:p>
          <w:p w14:paraId="50EF3307" w14:textId="77777777" w:rsidR="005061F8" w:rsidRPr="00A854CD" w:rsidRDefault="00F01B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nagłośnienie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726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B19C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061F8" w:rsidRPr="00A854CD" w14:paraId="5C0FB63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EC1A" w14:textId="10005784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6780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Kamera z opcją montażu sufitowego (rozdzielczość min. Full HD 1920x1080, min. 50 kl./s. przy rozdzielczości 1080p, kompresja: H.264, min. 10-krotny zoom optyczny, min. 4-krotny zoom cyfrowy, obiektyw min. F1.6, automatyczna regulacja ostrości, wyjście HDMI, </w:t>
            </w: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 xml:space="preserve">możliwość nachylenia kamery [90°/-20°], możliwość obrotu kamery [± 170°], komunikacja: LAN [RJ-45], zasilanie: DC 12V lub standard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9355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0B34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401A19C1" w14:textId="77777777">
        <w:trPr>
          <w:trHeight w:val="7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0ECF" w14:textId="01CAEA3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  <w:r w:rsidR="00F76F51" w:rsidRPr="00A854CD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146E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Zestaw głośnikowy trójdrożny (moc: min. 480 W [program], odczep transformatora: min. 150W@100V, pasmo przenoszenia: 42Hz-15kHz (±3dB), maksymalne SPL: min. 115dB,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dyspresja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: 120° H x 110° V, przetworniki: koaksjalny 10”, 5” oraz 1”, zabezpieczenie przed przeciążeniem, w zestawie uchwyt dedykowany do montażu sufitowego, waga: max 20kg). Dostawca powinien zapewnić opcję przekazywania dźwięku na oba zestawy w sposób synchroniczny.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BC1F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A3E9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0F4C139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E179" w14:textId="54B3294F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  <w:r w:rsidR="00F76F51"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A90F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2ECA96F1" w14:textId="77777777" w:rsidR="005061F8" w:rsidRPr="00A854CD" w:rsidRDefault="00F01B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odbiornik dla mikrofonów</w:t>
            </w:r>
          </w:p>
          <w:p w14:paraId="2D0D6402" w14:textId="77777777" w:rsidR="005061F8" w:rsidRPr="00A854CD" w:rsidRDefault="00F01B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2 mikrofony typu Hand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75C26D00" w14:textId="77777777" w:rsidR="005061F8" w:rsidRPr="00A854CD" w:rsidRDefault="00F01B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2 typu mikrofony typu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“krawatowy” wraz z nadajnikiem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95C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F796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55286" w:rsidRPr="00A854CD" w14:paraId="3E1C0AEE" w14:textId="77777777" w:rsidTr="00955286">
        <w:tc>
          <w:tcPr>
            <w:tcW w:w="70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E6C8" w14:textId="402F0F0D" w:rsidR="00955286" w:rsidRPr="00A854CD" w:rsidRDefault="00A854CD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8310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F1CD" w14:textId="41857E0C" w:rsidR="00955286" w:rsidRPr="00A854CD" w:rsidRDefault="0095528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Sieć</w:t>
            </w:r>
          </w:p>
        </w:tc>
      </w:tr>
      <w:tr w:rsidR="00955286" w:rsidRPr="00A854CD" w14:paraId="577BF33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958D" w14:textId="79E433A4" w:rsidR="00955286" w:rsidRPr="00A854CD" w:rsidRDefault="0095528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B310" w14:textId="55B306EC" w:rsidR="00955286" w:rsidRPr="00A854CD" w:rsidRDefault="00955286" w:rsidP="009552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sz w:val="18"/>
                <w:szCs w:val="18"/>
              </w:rPr>
              <w:t>Access Point</w:t>
            </w:r>
          </w:p>
          <w:p w14:paraId="1E7592C3" w14:textId="77777777" w:rsidR="00955286" w:rsidRPr="00A854CD" w:rsidRDefault="00955286" w:rsidP="0095528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Dane techniczne i funkcjonalne urządzenia</w:t>
            </w:r>
          </w:p>
          <w:p w14:paraId="0F6837DF" w14:textId="2C342C72" w:rsidR="00955286" w:rsidRPr="00A854CD" w:rsidRDefault="0095528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Rodzaj urządzenia:</w:t>
            </w:r>
          </w:p>
          <w:p w14:paraId="6AB434FC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Access Point wewnętrzny z wbudowanymi antenami 2.4/5GHz</w:t>
            </w:r>
          </w:p>
          <w:p w14:paraId="0D088E7F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ma być zarządzane centralnie za pomocą kontrolera.</w:t>
            </w:r>
          </w:p>
          <w:p w14:paraId="148F8C6A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ma wspierać protokół CAPWAP.</w:t>
            </w:r>
          </w:p>
          <w:p w14:paraId="3DF62479" w14:textId="76BDA05A" w:rsidR="00955286" w:rsidRPr="00BA51A5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BA51A5">
              <w:rPr>
                <w:rFonts w:ascii="Verdana" w:hAnsi="Verdana"/>
                <w:bCs/>
                <w:strike/>
                <w:sz w:val="18"/>
                <w:szCs w:val="18"/>
                <w:highlight w:val="yellow"/>
              </w:rPr>
              <w:t xml:space="preserve">Ruch z punktu dostępowego powinien być tunelowany do </w:t>
            </w:r>
            <w:proofErr w:type="spellStart"/>
            <w:r w:rsidRPr="00BA51A5">
              <w:rPr>
                <w:rFonts w:ascii="Verdana" w:hAnsi="Verdana"/>
                <w:bCs/>
                <w:strike/>
                <w:sz w:val="18"/>
                <w:szCs w:val="18"/>
                <w:highlight w:val="yellow"/>
              </w:rPr>
              <w:t>kontrolera.</w:t>
            </w:r>
            <w:r w:rsidR="00BA51A5" w:rsidRPr="00BA51A5">
              <w:rPr>
                <w:rFonts w:ascii="Verdana" w:hAnsi="Verdana"/>
                <w:b/>
                <w:sz w:val="18"/>
                <w:szCs w:val="18"/>
                <w:highlight w:val="yellow"/>
              </w:rPr>
              <w:t>USUNIĘTO</w:t>
            </w:r>
            <w:proofErr w:type="spellEnd"/>
            <w:r w:rsidR="00BA51A5" w:rsidRPr="00BA51A5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ZAPIS</w:t>
            </w:r>
          </w:p>
          <w:p w14:paraId="117BCF52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Wraz z punktem dostępowym powinny zostać dostarczone odpowiednie licencje w celu asocjacji urządzenia w kontrolerze.</w:t>
            </w:r>
          </w:p>
          <w:p w14:paraId="798D8894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ma pracować w zakresie częstotliwości obowiązujących w Unii Europejskiej.</w:t>
            </w:r>
          </w:p>
          <w:p w14:paraId="2BB9A8CB" w14:textId="77777777" w:rsidR="00955286" w:rsidRPr="00A854CD" w:rsidRDefault="0095528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Parametry techniczne:</w:t>
            </w:r>
          </w:p>
          <w:p w14:paraId="3A921541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802.11n:</w:t>
            </w:r>
          </w:p>
          <w:p w14:paraId="789C1B0E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2x2 MIMO </w:t>
            </w:r>
          </w:p>
          <w:p w14:paraId="1CFD8A88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Maximal Ratio Combining (MRC)</w:t>
            </w:r>
          </w:p>
          <w:p w14:paraId="69BC11CF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802.11n oraz 802.11a/g</w:t>
            </w:r>
          </w:p>
          <w:p w14:paraId="1709C958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Kanały: 20-, 40-MHz</w:t>
            </w:r>
          </w:p>
          <w:p w14:paraId="5FDCAA12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Aggregate MAC Service Data Unit (A-MSDU) </w:t>
            </w:r>
          </w:p>
          <w:p w14:paraId="4E676658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802.11 Dynamic Frequency Selection (DFS)</w:t>
            </w:r>
          </w:p>
          <w:p w14:paraId="324B4817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Wsparcie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Cyclic Shift Diversity (CSD)</w:t>
            </w:r>
          </w:p>
          <w:p w14:paraId="3AA454A6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802.11ac:</w:t>
            </w:r>
          </w:p>
          <w:p w14:paraId="7C670DDD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0A17040A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MRC</w:t>
            </w:r>
          </w:p>
          <w:p w14:paraId="03055FC9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802.11ac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beamforming</w:t>
            </w:r>
            <w:proofErr w:type="spellEnd"/>
          </w:p>
          <w:p w14:paraId="4CD73B3B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Kanały: 20-, 40-, 80- MHz</w:t>
            </w:r>
          </w:p>
          <w:p w14:paraId="77E57D90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Agregacja pakietów: A-MPDU, A-MSDU</w:t>
            </w:r>
          </w:p>
          <w:p w14:paraId="417DFEB5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2E44582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Wsparcie CSD </w:t>
            </w:r>
          </w:p>
          <w:p w14:paraId="1D4C9625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020EF0C5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802.11ax:</w:t>
            </w:r>
          </w:p>
          <w:p w14:paraId="57F79F66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3E59097B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lastRenderedPageBreak/>
              <w:t>OFDMA</w:t>
            </w:r>
          </w:p>
          <w:p w14:paraId="02B8D0DD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TWT</w:t>
            </w:r>
          </w:p>
          <w:p w14:paraId="61A689DF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BSS coloring</w:t>
            </w:r>
          </w:p>
          <w:p w14:paraId="35F50D11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MRC</w:t>
            </w:r>
          </w:p>
          <w:p w14:paraId="5215191C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802.11ax beamforming</w:t>
            </w:r>
          </w:p>
          <w:p w14:paraId="7A953D6E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Kanały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: 20-, 40-, 80- MHz</w:t>
            </w:r>
          </w:p>
          <w:p w14:paraId="0C394B5C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Agregacja pakietów: A-MPDU, A-MSDU </w:t>
            </w:r>
          </w:p>
          <w:p w14:paraId="5E199224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4300DF2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CSD</w:t>
            </w:r>
          </w:p>
          <w:p w14:paraId="1B9B907D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655D5959" w14:textId="77777777" w:rsidR="00955286" w:rsidRPr="00A854CD" w:rsidRDefault="0095528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Zarządzanie:</w:t>
            </w:r>
          </w:p>
          <w:p w14:paraId="2644B5B4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Interfejs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1x 10/100/1000 Base-T (Ethernet)</w:t>
            </w:r>
          </w:p>
          <w:p w14:paraId="5BE396F8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Port konsolowy </w:t>
            </w:r>
          </w:p>
          <w:p w14:paraId="599F308A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Powiadomienia diodą/diodami o statusie urządzenia (podłączony do kontrolera, gotowy do pracy, uruchamianie itp.)</w:t>
            </w:r>
          </w:p>
          <w:p w14:paraId="337965FC" w14:textId="77777777" w:rsidR="00955286" w:rsidRPr="00A854CD" w:rsidRDefault="0095528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Zasilanie oraz instalacja:</w:t>
            </w:r>
          </w:p>
          <w:p w14:paraId="74A9C605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musi posiadać możliwość zasilania z gniazda RJ45 w standardzie 802.3at (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PoE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+)</w:t>
            </w:r>
          </w:p>
          <w:p w14:paraId="67629136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ma dostarczone wraz z zestawem instalacyjnym na sufitowym</w:t>
            </w:r>
          </w:p>
          <w:p w14:paraId="7E88C0DA" w14:textId="77777777" w:rsidR="00955286" w:rsidRPr="00A854CD" w:rsidRDefault="0095528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Gwarancja oraz wsparcie:</w:t>
            </w:r>
          </w:p>
          <w:p w14:paraId="6F2B3203" w14:textId="2205E7C8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Gwarancja: System musi być objęty serwisem gwarancyjnym producenta przez okres </w:t>
            </w:r>
            <w:r w:rsidR="00A854CD">
              <w:rPr>
                <w:rFonts w:ascii="Verdana" w:hAnsi="Verdana"/>
                <w:bCs/>
                <w:sz w:val="18"/>
                <w:szCs w:val="18"/>
              </w:rPr>
              <w:t>min. 24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9D97" w14:textId="5FDA4F4E" w:rsidR="00955286" w:rsidRPr="00A854CD" w:rsidRDefault="00547D97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15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9779" w14:textId="595F3CA3" w:rsidR="00955286" w:rsidRPr="00A854CD" w:rsidRDefault="00547D97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955286" w:rsidRPr="00A854CD" w14:paraId="3AE39BE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F44B" w14:textId="429E07AD" w:rsidR="00955286" w:rsidRPr="00A854CD" w:rsidRDefault="0095528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2BC0" w14:textId="1B69B382" w:rsidR="001B2B1F" w:rsidRPr="00A854CD" w:rsidRDefault="001B2B1F" w:rsidP="001B2B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sz w:val="18"/>
                <w:szCs w:val="18"/>
              </w:rPr>
              <w:t>Firewall</w:t>
            </w:r>
          </w:p>
          <w:p w14:paraId="36BC85E4" w14:textId="386E6609" w:rsidR="00955286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Wymagania Ogólne</w:t>
            </w:r>
          </w:p>
          <w:p w14:paraId="0FAFFF13" w14:textId="2E56199D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Dostarczony system bezpieczeństwa musi zapewniać wszystkie wymienione poniżej funkcje sieciowe i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39D8D85B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dawać możliwość pracy w jednym z trzech trybów: Routera z funkcją NAT, transparentnym oraz monitorowania na porcie SPAN. </w:t>
            </w:r>
          </w:p>
          <w:p w14:paraId="159C4C70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wspierać IPv4 oraz IPv6 w zakresie:</w:t>
            </w:r>
          </w:p>
          <w:p w14:paraId="3FB27449" w14:textId="77777777" w:rsidR="00955286" w:rsidRPr="00A854CD" w:rsidRDefault="0095528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Firewall.</w:t>
            </w:r>
          </w:p>
          <w:p w14:paraId="119A7611" w14:textId="77777777" w:rsidR="00955286" w:rsidRPr="00A854CD" w:rsidRDefault="0095528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Ochrony w warstwie aplikacji.</w:t>
            </w:r>
          </w:p>
          <w:p w14:paraId="3BB721D3" w14:textId="77777777" w:rsidR="00955286" w:rsidRPr="00A854CD" w:rsidRDefault="0095528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Protokołów routingu dynamicznego.</w:t>
            </w:r>
          </w:p>
          <w:p w14:paraId="31DA7136" w14:textId="77777777" w:rsidR="00955286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Redundancja, monitoring i wykrywanie awarii</w:t>
            </w:r>
          </w:p>
          <w:p w14:paraId="3AF2B46F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przypadku systemu pełniącego funkcje: Firewall,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 Kontrola Aplikacji oraz IPS – musi istnieć możliwość łączenia w klaster Active-Active lub Active-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Passive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. W obu trybach powinna istnieć funkcja synchronizacji sesji firewall. </w:t>
            </w:r>
          </w:p>
          <w:p w14:paraId="6508E556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Monitoring i wykrywanie uszkodzenia elementów sprzętowych i programowych systemów zabezpieczeń oraz łączy sieciowych.</w:t>
            </w:r>
          </w:p>
          <w:p w14:paraId="6CF66C1B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Monitoring stanu realizowanych połączeń VPN. </w:t>
            </w:r>
          </w:p>
          <w:p w14:paraId="3AF716D4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umożliwiać agregację linków statyczną oraz w oparciu o protokół LACP. Powinna istnieć możliwość tworzenia interfejsów redundantnych.</w:t>
            </w:r>
          </w:p>
          <w:p w14:paraId="2FAF5052" w14:textId="77777777" w:rsidR="00955286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Interfejsy, Dysk, Zasilanie:</w:t>
            </w:r>
          </w:p>
          <w:p w14:paraId="340CA9F1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dysponować minimum: </w:t>
            </w:r>
          </w:p>
          <w:p w14:paraId="1EC8523C" w14:textId="77777777" w:rsidR="00955286" w:rsidRPr="00A854CD" w:rsidRDefault="0095528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portami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Gigabit Ethernet RJ-45.</w:t>
            </w:r>
          </w:p>
          <w:p w14:paraId="4A933412" w14:textId="77777777" w:rsidR="00955286" w:rsidRPr="00A854CD" w:rsidRDefault="0095528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4 gniazdami SFP 1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363941B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Firewall musi posiadać wbudowany port konsoli szeregowej oraz gniazdo USB.</w:t>
            </w:r>
          </w:p>
          <w:p w14:paraId="42E3C85B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ramach systemu Firewall powinna być możliwość zdefiniowania co najmniej 200 interfejsów wirtualnych - definiowanych jako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VLAN’y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w oparciu o standard 802.1Q.</w:t>
            </w:r>
          </w:p>
          <w:p w14:paraId="6938A2E1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być wyposażony w zasilanie AC.</w:t>
            </w:r>
          </w:p>
          <w:p w14:paraId="344AD33D" w14:textId="77777777" w:rsidR="00955286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Parametry wydajnościowe:</w:t>
            </w:r>
          </w:p>
          <w:p w14:paraId="1150D920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zakresie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Firewall’a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obsługa nie mniej niż 320 tys. jednoczesnych połączeń oraz 18 tys. nowych połączeń na sekundę.</w:t>
            </w:r>
          </w:p>
          <w:p w14:paraId="3790C2FD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Przepustowość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Firewall: nie mniej niż 5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9C2401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Przepustowość Firewall z włączoną funkcją Kontroli Aplikacji: nie mniej niż 1.8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FFA0B81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Wydajność szyfrowania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 nie mniej niż 1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0F3CC21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Wydajność skanowania ruchu z włączonymi funkcjami: IPS, Application Control, Antywirus - minimum 1.7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6EAA321" w14:textId="77777777" w:rsidR="00955286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Funkcje Systemu Bezpieczeństwa:</w:t>
            </w:r>
          </w:p>
          <w:p w14:paraId="5D4DAFCA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795670B2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dostępu - zapora ogniowa klasy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Inspection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11A7640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Aplikacji. </w:t>
            </w:r>
          </w:p>
          <w:p w14:paraId="69EC3663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Poufność transmisji danych  - połączenia szyfrowane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 oraz SSL VPN.</w:t>
            </w:r>
          </w:p>
          <w:p w14:paraId="213E3BFA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– co najmniej dla protokołów SMTP, POP3, IMAP, HTTP, FTP, HTTPS.</w:t>
            </w:r>
          </w:p>
          <w:p w14:paraId="28E891C8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Ochrona przed atakami  -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Intrusion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Prevention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System.</w:t>
            </w:r>
          </w:p>
          <w:p w14:paraId="0D41B187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stron WWW. </w:t>
            </w:r>
          </w:p>
          <w:p w14:paraId="7F4FD8D3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Kontrola zawartości poczty –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dla protokołów SMTP, POP3.</w:t>
            </w:r>
          </w:p>
          <w:p w14:paraId="4DABE9F4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 pasmem (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QoS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Traffic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shaping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).</w:t>
            </w:r>
          </w:p>
          <w:p w14:paraId="105C77A0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Analiza ruchu szyfrowanego protokołem SSL.</w:t>
            </w:r>
          </w:p>
          <w:p w14:paraId="41C5EF2B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Polityki, Firewall</w:t>
            </w:r>
          </w:p>
          <w:p w14:paraId="58DB924B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Polityka Firewall musi uwzględniać adresy IP, użytkowników, protokoły, usługi sieciowe, aplikacje lub zbiory aplikacji, reakcje zabezpieczeń, rejestrowanie zdarzeń. </w:t>
            </w:r>
          </w:p>
          <w:p w14:paraId="6B5FAB51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zapewniać translację adresów NAT: źródłowego i docelowego, translację PAT oraz:</w:t>
            </w:r>
          </w:p>
          <w:p w14:paraId="17CD57D3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Translację jeden do jeden oraz jeden do wielu.</w:t>
            </w:r>
          </w:p>
          <w:p w14:paraId="67C73EBC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ramach systemu musi istnieć możliwość tworzenia wydzielonych stref bezpieczeństwa np. DMZ, LAN, WAN.</w:t>
            </w:r>
          </w:p>
          <w:p w14:paraId="3E7047C2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Połączenia VPN</w:t>
            </w:r>
          </w:p>
          <w:p w14:paraId="669686D7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musi umożliwiać konfigurację połączeń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VPN. W zakresie tej funkcji musi zapewniać:</w:t>
            </w:r>
          </w:p>
          <w:p w14:paraId="329E94BE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dla IKE v1 oraz v2.</w:t>
            </w:r>
          </w:p>
          <w:p w14:paraId="104149D8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Obsługa szyfrowania protokołem AES z kluczem 128 i 256 bitów </w:t>
            </w:r>
          </w:p>
          <w:p w14:paraId="30AFC268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Tworzenie połączeń typu Site-to-Site oraz Client-to-Site.</w:t>
            </w:r>
          </w:p>
          <w:p w14:paraId="02DFD666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Monitorowanie stanu tuneli VPN i stałego utrzymywania ich aktywności.</w:t>
            </w:r>
          </w:p>
          <w:p w14:paraId="5369DE5E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Mechanizm „Split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” dla połączeń Client-to-Site.</w:t>
            </w:r>
          </w:p>
          <w:p w14:paraId="4526F243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umożliwiać konfigurację połączeń typu SSL VPN. W zakresie tej funkcji musi zapewniać:</w:t>
            </w:r>
          </w:p>
          <w:p w14:paraId="0530FCE9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Pracę w trybie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Tunnel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z możliwością włączenia funkcji „Split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” przy zastosowaniu dedykowanego klienta.</w:t>
            </w:r>
          </w:p>
          <w:p w14:paraId="0EDAE949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Producent rozwiązania musi dostarczać oprogramowanie klienckie VPN, które umożliwia realizację połączeń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 lub SSL VPN.</w:t>
            </w:r>
          </w:p>
          <w:p w14:paraId="2362CF36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Routing i obsługa łączy WAN</w:t>
            </w:r>
          </w:p>
          <w:p w14:paraId="0A3187CB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zakresie routingu rozwiązanie powinno zapewniać obsługę:</w:t>
            </w:r>
          </w:p>
          <w:p w14:paraId="4E2B50C6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Routingu statycznego. </w:t>
            </w:r>
          </w:p>
          <w:p w14:paraId="57A4379F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Policy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Based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Routingu.</w:t>
            </w:r>
          </w:p>
          <w:p w14:paraId="0DCAFA13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Protokołów dynamicznego routingu w oparciu o protokoły: RIPv2, OSPF, BGP. </w:t>
            </w:r>
          </w:p>
          <w:p w14:paraId="5A1AE12E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 pasmem</w:t>
            </w:r>
          </w:p>
          <w:p w14:paraId="021D61D0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Firewall musi umożliwiać zarządzanie pasmem poprzez określenie: maksymalnej, gwarantowanej ilości pasma,  oznaczanie DSCP oraz wskazanie priorytetu ruchu.</w:t>
            </w:r>
          </w:p>
          <w:p w14:paraId="7FDEC6DE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Musi istnieć możliwość określania pasma dla poszczególnych aplikacji.</w:t>
            </w:r>
          </w:p>
          <w:p w14:paraId="5C6B61A4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zapewniać możliwość zarządzania pasmem dla wybranych kategorii URL.</w:t>
            </w:r>
          </w:p>
          <w:p w14:paraId="5FE55467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</w:p>
          <w:p w14:paraId="012EBE83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Silnik antywirusowy musi umożliwiać skanowanie ruchu w obu kierunkach komunikacji dla protokołów działających na niestandardowych portach.</w:t>
            </w:r>
          </w:p>
          <w:p w14:paraId="3942DFE5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umożliwiać skanowanie archiwów, w tym co najmniej: zip, RAR.</w:t>
            </w:r>
          </w:p>
          <w:p w14:paraId="78CE8E0F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dedykowaną platformą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lub usługą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realizowaną w chmurze. W ramach postępowania musi zostać dostarczona platforma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wraz z niezbędnymi serwisami lub licencja upoważniająca do korzystania z usługi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w chmurze. </w:t>
            </w:r>
          </w:p>
          <w:p w14:paraId="671F210A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Ochrona przed atakami</w:t>
            </w:r>
          </w:p>
          <w:p w14:paraId="7608770C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Ochrona IPS powinna opierać się co najmniej na analizie sygnaturowej oraz na analizie anomalii w protokołach sieciowych.</w:t>
            </w:r>
          </w:p>
          <w:p w14:paraId="0A924045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powinien chronić przed atakami na aplikacje pracujące na niestandardowych portach.</w:t>
            </w:r>
          </w:p>
          <w:p w14:paraId="1725F935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Baza sygnatur ataków powinna zawierać minimum 3000 wpisów i być aktualizowana automatycznie, zgodnie z harmonogramem definiowanym przez administratora.</w:t>
            </w:r>
          </w:p>
          <w:p w14:paraId="11F4D942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Administrator systemu musi mieć możliwość definiowania własnych wyjątków oraz własnych sygnatur.</w:t>
            </w:r>
          </w:p>
          <w:p w14:paraId="45E93D58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musi zapewniać wykrywanie anomalii protokołów i ruchu sieciowego, realizując tym samym podstawową ochronę przed atakami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DoS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oraz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DDoS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B78FF65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Mechanizmy ochrony dla aplikacji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Web’owych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na poziomie sygnaturowym (co najmniej ochrona przed: CSS, SQL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Injecton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Trojany,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Exploity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Roboty) oraz możliwość kontrolowania długości nagłówka, ilości parametrów URL,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Cookies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873391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Wykrywanie i blokowanie komunikacji C&amp;C do sieci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botnet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297B19E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Kontrola aplikacji</w:t>
            </w:r>
          </w:p>
          <w:p w14:paraId="3E009CDB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Funkcja Kontroli Aplikacji powinna umożliwiać kontrolę ruchu na podstawie głębokiej analizy pakietów, nie bazując jedynie na wartościach portów TCP/UDP.</w:t>
            </w:r>
          </w:p>
          <w:p w14:paraId="19331721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Baza Kontroli Aplikacji powinna zawierać minimum 1500 sygnatur i być aktualizowana automatycznie, zgodnie z harmonogramem definiowanym przez administratora.</w:t>
            </w:r>
          </w:p>
          <w:p w14:paraId="1E746ACA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Aplikacje chmurowe (co najmniej: Facebook, Google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Docs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Dropbox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) powinny być kontrolowane pod względem wykonywanych czynności, np.: pobieranie, wysyłanie plików. </w:t>
            </w:r>
          </w:p>
          <w:p w14:paraId="333B56E7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Baza powinna zawierać kategorie aplikacji szczególnie istotne z punktu widzenia bezpieczeństwa: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 P2P.</w:t>
            </w:r>
          </w:p>
          <w:p w14:paraId="4F74F595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Administrator systemu musi mieć możliwość definiowania wyjątków oraz własnych sygnatur. </w:t>
            </w:r>
          </w:p>
          <w:p w14:paraId="73B3785A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Kontrola WWW</w:t>
            </w:r>
          </w:p>
          <w:p w14:paraId="5C36E5A1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Moduł kontroli WWW musi korzystać z bazy zawierającej co najmniej 33 milionów adresów URL  pogrupowanych w kategorie tematyczne. </w:t>
            </w:r>
          </w:p>
          <w:p w14:paraId="0B807D4D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ramach filtra www powinny być dostępne kategorie istotne z punktu widzenia bezpieczeństwa, jak: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(lub inne będące źródłem złośliwego oprogramowania),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phishing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spam,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Dynamic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DNS,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F1BCA0A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Filtr WWW musi dostarczać kategorii stron zabronionych prawem: Hazard.</w:t>
            </w:r>
          </w:p>
          <w:p w14:paraId="0337F1EC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Administrator musi mieć możliwość nadpisywania kategorii oraz tworzenia wyjątków – białe/czarne listy dla adresów URL.</w:t>
            </w:r>
          </w:p>
          <w:p w14:paraId="560F8ADB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Administrator musi mieć możliwość definiowania komunikatów zwracanych użytkownikowi dla różnych akcji podejmowanych przez moduł filtrowania.</w:t>
            </w:r>
          </w:p>
          <w:p w14:paraId="195C880C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ramach systemu musi istnieć możliwość określenia, dla których kategorii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url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lub wskazanych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ulr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- system nie będzie dokonywał inspekcji szyfrowanej komunikacji. </w:t>
            </w:r>
          </w:p>
          <w:p w14:paraId="4607A6C9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</w:t>
            </w:r>
          </w:p>
          <w:p w14:paraId="54B5A040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Elementy systemu bezpieczeństwa muszą mieć możliwość zarządzania lokalnego z wykorzystaniem protokołów: HTTPS oraz SSH, jak i powinny mieć możliwość współpracy z dedykowanymi platformami  centralnego zarządzania i monitorowania.</w:t>
            </w:r>
          </w:p>
          <w:p w14:paraId="2BE9DDA8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Komunikacja systemów zabezpieczeń z platformami  centralnego zarządzania musi być realizowana z wykorzystaniem szyfrowanych protokołów.</w:t>
            </w:r>
          </w:p>
          <w:p w14:paraId="602DA35B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netflow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lub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sflow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0286636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Element systemu pełniący funkcję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Firewal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musi posiadać wbudowane narzędzia diagnostyczne, przynajmniej: ping,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traceroute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 podglądu pakietów, monitorowanie procesowania sesji oraz stanu sesji firewall.</w:t>
            </w:r>
          </w:p>
          <w:p w14:paraId="0DA26E6B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Element systemu realizujący funkcję firewall musi umożliwiać wykonanie szeregu zmian przez administratora w CLI lub GUI, które nie zostaną zaimplementowane zanim nie zostaną zatwierdzone.</w:t>
            </w:r>
          </w:p>
          <w:p w14:paraId="742F7F03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Logowanie</w:t>
            </w:r>
          </w:p>
          <w:p w14:paraId="52F307EB" w14:textId="68613CB6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Elementy systemu bezpieczeństwa muszą realizować  logowanie do aplikacji (logowania i raportowania) udostępnianej w chmurze, lub w ramach postępowania musi zostać dostarczony komercyjny system logowania i raportowania w postaci odpowiednio</w:t>
            </w:r>
            <w:r w:rsidR="00A854C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>zabezpieczonej, komercyjnej platformy sprzętowej lub programowej.</w:t>
            </w:r>
          </w:p>
          <w:p w14:paraId="33878AAB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ramach logowania system pełniący funkcję Firewall musi zapewniać przekazywanie danych o zaakceptowanym ruchu, ruchu blokowanym, aktywności 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administratorów, zużyciu zasobów oraz stanie pracy systemu. Musi być zapewniona możliwość jednoczesnego wysyłania logów do wielu serwerów logowania.</w:t>
            </w:r>
          </w:p>
          <w:p w14:paraId="5A640C2D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Logowanie musi obejmować zdarzenia dotyczące wszystkich modułów sieciowych i bezpieczeństwa oferowanego systemu.</w:t>
            </w:r>
          </w:p>
          <w:p w14:paraId="5494DBB9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Musi istnieć możliwość logowania do serwera SYSLOG.</w:t>
            </w:r>
          </w:p>
          <w:p w14:paraId="5B0EF8E1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Serwisy i licencje</w:t>
            </w:r>
          </w:p>
          <w:p w14:paraId="084851D2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ramach postępowania powinny zostać dostarczone licencje upoważniające do korzystania z aktualnych baz funkcji ochronnych producenta i serwisów. Powinny one obejmować:</w:t>
            </w:r>
          </w:p>
          <w:p w14:paraId="4F952795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Aplikacji, IPS, Antywirus (z uwzględnieniem sygnatur do ochrony urządzeń mobilnych - co najmniej dla systemu operacyjnego Android), Analiza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Web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Filtering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bazy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reputacyjne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adresów IP/domen na okres 36 miesięcy. </w:t>
            </w:r>
          </w:p>
          <w:p w14:paraId="157EB18F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Gwarancja oraz wsparcie</w:t>
            </w:r>
          </w:p>
          <w:p w14:paraId="3730ACA0" w14:textId="23A38BE4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Gwarancja: System musi być objęty serwisem gwarancyjnym producenta przez okres </w:t>
            </w:r>
            <w:r w:rsidR="00A854CD">
              <w:rPr>
                <w:rFonts w:ascii="Verdana" w:hAnsi="Verdana"/>
                <w:bCs/>
                <w:sz w:val="18"/>
                <w:szCs w:val="18"/>
              </w:rPr>
              <w:t>min 24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459F" w14:textId="35A62856" w:rsidR="00955286" w:rsidRPr="00A854CD" w:rsidRDefault="00547D97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DA41" w14:textId="1A07AEE8" w:rsidR="00955286" w:rsidRPr="00A854CD" w:rsidRDefault="00547D97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D53115" w:rsidRPr="00A854CD" w14:paraId="66DB2E8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5725" w14:textId="65DEA16A" w:rsidR="00D53115" w:rsidRPr="00A854CD" w:rsidRDefault="00D00DC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A246" w14:textId="77777777" w:rsidR="00D53115" w:rsidRPr="00A854CD" w:rsidRDefault="00D53115" w:rsidP="00D53115">
            <w:pPr>
              <w:tabs>
                <w:tab w:val="left" w:pos="3919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sz w:val="18"/>
                <w:szCs w:val="18"/>
              </w:rPr>
              <w:t>Serwery</w:t>
            </w:r>
          </w:p>
          <w:p w14:paraId="55A0EE42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procesor: 2szt., taktowanie min. 2,90 GHz, każdy po 16 rdzeni/32 wątki, pamięć cache min. 22 MB na każdy procesor,</w:t>
            </w:r>
          </w:p>
          <w:p w14:paraId="65D9AD82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pamięć RAM: 2x64GB DDR4, taktowanie min. 3200 MHz, Dual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Rank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0E5FC129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kontroler sprzętowy RAID obsługujący następujące rodzaje dysków: SATA, SSD, SAS; obsługujący następujące poziomy RAID: 0,1,5,6,10,50,60, 2GB pamięci cache NV, transfer 12Gb/s, wspierane systemy: Linux,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22B66012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ilość wnęk montażowych na dyski 2,5": 8 szt., wszystkie podłączone do kontrolera sprzętowego RAID,</w:t>
            </w:r>
          </w:p>
          <w:p w14:paraId="010F488F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dyski: 2 szt. 2,5" dysków SSD Mixed-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Use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 pojemność 1,92GB, interfejs SAS 12Gb/s,</w:t>
            </w:r>
          </w:p>
          <w:p w14:paraId="3CDCAF4C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karta sieciowa: 2 porty RJ-45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+ 2xSFP+, 10GbE, NDC,</w:t>
            </w:r>
          </w:p>
          <w:p w14:paraId="1B6B6FB2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interfejs do zarządzania zdalnego (w wersji Enterprise) z dedykowanym portem,</w:t>
            </w:r>
          </w:p>
          <w:p w14:paraId="2CFADCA5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ramka zabezpieczająca przez nieautoryzowanym wyjęciem dysków z wyświetlaczem LCD informującym o stanie serwera,</w:t>
            </w:r>
          </w:p>
          <w:p w14:paraId="0E0F4841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zasilacz: 2 szt. zasilacza, moc min. 750W każdy, hot-plug,</w:t>
            </w:r>
          </w:p>
          <w:p w14:paraId="6337BC8C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szyny montażowe ruchome z ramieniem na kable,</w:t>
            </w:r>
          </w:p>
          <w:p w14:paraId="7939C4C1" w14:textId="001A29BB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gwarancja </w:t>
            </w:r>
            <w:r w:rsidR="00A854CD">
              <w:rPr>
                <w:rFonts w:ascii="Verdana" w:hAnsi="Verdana"/>
                <w:bCs/>
                <w:sz w:val="18"/>
                <w:szCs w:val="18"/>
              </w:rPr>
              <w:t>min 2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>lata NBD,</w:t>
            </w:r>
          </w:p>
          <w:p w14:paraId="7CCC3E51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zachowanie dysków twardych - w przypadku awarii uszkodzone dyski zostają u klienta - 3 lata,</w:t>
            </w:r>
          </w:p>
          <w:p w14:paraId="16E61310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obudowa: 1U,</w:t>
            </w:r>
          </w:p>
          <w:p w14:paraId="1338F3D2" w14:textId="77777777" w:rsidR="00D53115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wspierane systemy operacyjne: Linux, Windows,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F29D199" w14:textId="7F83F7CB" w:rsidR="00033D01" w:rsidRPr="00033D01" w:rsidRDefault="00033D01" w:rsidP="00033D01">
            <w:p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033D01">
              <w:rPr>
                <w:rFonts w:ascii="Verdana" w:hAnsi="Verdana"/>
                <w:bCs/>
                <w:sz w:val="18"/>
                <w:szCs w:val="18"/>
                <w:highlight w:val="yellow"/>
              </w:rPr>
              <w:t>Zamawiający dopuszcza serwer o wysokości 1U bez panelu LCD</w:t>
            </w:r>
            <w:r w:rsidRPr="00033D01">
              <w:rPr>
                <w:rFonts w:ascii="Verdana" w:hAnsi="Verdana"/>
                <w:bCs/>
                <w:sz w:val="18"/>
                <w:szCs w:val="18"/>
                <w:highlight w:val="yellow"/>
              </w:rPr>
              <w:t xml:space="preserve"> oraz 2U bez panelu LCD.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CC66" w14:textId="614255AB" w:rsidR="00D53115" w:rsidRPr="00A854CD" w:rsidRDefault="00547D97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3B98" w14:textId="4543DA99" w:rsidR="00D53115" w:rsidRPr="00A854CD" w:rsidRDefault="00D00DC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bookmarkEnd w:id="0"/>
    </w:tbl>
    <w:p w14:paraId="0E5DA025" w14:textId="1420E484" w:rsidR="005061F8" w:rsidRDefault="005061F8"/>
    <w:p w14:paraId="5D493B45" w14:textId="77777777" w:rsidR="000B3FD5" w:rsidRDefault="000B3FD5"/>
    <w:sectPr w:rsidR="000B3FD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78C0" w14:textId="77777777" w:rsidR="00A854CD" w:rsidRDefault="00A854CD" w:rsidP="00A854CD">
      <w:pPr>
        <w:spacing w:line="240" w:lineRule="auto"/>
      </w:pPr>
      <w:r>
        <w:separator/>
      </w:r>
    </w:p>
  </w:endnote>
  <w:endnote w:type="continuationSeparator" w:id="0">
    <w:p w14:paraId="573D07CA" w14:textId="77777777" w:rsidR="00A854CD" w:rsidRDefault="00A854CD" w:rsidP="00A85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D5112" w14:textId="77777777" w:rsidR="00A854CD" w:rsidRDefault="00A854CD" w:rsidP="00A854CD">
      <w:pPr>
        <w:spacing w:line="240" w:lineRule="auto"/>
      </w:pPr>
      <w:r>
        <w:separator/>
      </w:r>
    </w:p>
  </w:footnote>
  <w:footnote w:type="continuationSeparator" w:id="0">
    <w:p w14:paraId="48038E4B" w14:textId="77777777" w:rsidR="00A854CD" w:rsidRDefault="00A854CD" w:rsidP="00A85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15F6" w14:textId="376C6231" w:rsidR="00A854CD" w:rsidRDefault="00A854CD" w:rsidP="00A854CD">
    <w:pPr>
      <w:pStyle w:val="Nagwek"/>
      <w:tabs>
        <w:tab w:val="clear" w:pos="4536"/>
        <w:tab w:val="left" w:pos="465"/>
        <w:tab w:val="center" w:pos="4514"/>
      </w:tabs>
    </w:pPr>
    <w:r>
      <w:tab/>
    </w:r>
    <w:r>
      <w:tab/>
    </w:r>
    <w:r w:rsidRPr="00A743AD">
      <w:rPr>
        <w:noProof/>
        <w:sz w:val="12"/>
        <w:szCs w:val="12"/>
      </w:rPr>
      <w:drawing>
        <wp:inline distT="0" distB="0" distL="0" distR="0" wp14:anchorId="3A0B2688" wp14:editId="07247758">
          <wp:extent cx="4962525" cy="619125"/>
          <wp:effectExtent l="0" t="0" r="9525" b="9525"/>
          <wp:docPr id="1" name="Obraz 1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54CD">
      <w:t>3/PN/2020</w:t>
    </w:r>
    <w:r w:rsidRPr="00A854CD">
      <w:tab/>
    </w:r>
    <w:r w:rsidRPr="00A854CD">
      <w:tab/>
      <w:t>SIWZ</w:t>
    </w:r>
    <w:r>
      <w:t xml:space="preserve"> cz. III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D52"/>
    <w:multiLevelType w:val="hybridMultilevel"/>
    <w:tmpl w:val="78A8390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B4F"/>
    <w:multiLevelType w:val="hybridMultilevel"/>
    <w:tmpl w:val="4F70FFF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07E"/>
    <w:multiLevelType w:val="hybridMultilevel"/>
    <w:tmpl w:val="5040199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1A74"/>
    <w:multiLevelType w:val="multilevel"/>
    <w:tmpl w:val="2CEE04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6D7566"/>
    <w:multiLevelType w:val="hybridMultilevel"/>
    <w:tmpl w:val="31C84296"/>
    <w:lvl w:ilvl="0" w:tplc="F0BC18C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7AA4"/>
    <w:multiLevelType w:val="hybridMultilevel"/>
    <w:tmpl w:val="C60A0AFE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00BF"/>
    <w:multiLevelType w:val="hybridMultilevel"/>
    <w:tmpl w:val="926A682C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3005"/>
    <w:multiLevelType w:val="hybridMultilevel"/>
    <w:tmpl w:val="328A2532"/>
    <w:lvl w:ilvl="0" w:tplc="DB169B1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6F0"/>
    <w:multiLevelType w:val="hybridMultilevel"/>
    <w:tmpl w:val="5D02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779E"/>
    <w:multiLevelType w:val="multilevel"/>
    <w:tmpl w:val="653AF5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77713C"/>
    <w:multiLevelType w:val="hybridMultilevel"/>
    <w:tmpl w:val="9F4839C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2E6C"/>
    <w:multiLevelType w:val="hybridMultilevel"/>
    <w:tmpl w:val="FF8C2460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70FAF"/>
    <w:multiLevelType w:val="hybridMultilevel"/>
    <w:tmpl w:val="07D018F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1FC9"/>
    <w:multiLevelType w:val="hybridMultilevel"/>
    <w:tmpl w:val="101C4A2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47E24"/>
    <w:multiLevelType w:val="hybridMultilevel"/>
    <w:tmpl w:val="FE0E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4FBF"/>
    <w:multiLevelType w:val="multilevel"/>
    <w:tmpl w:val="3092E0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5D6742"/>
    <w:multiLevelType w:val="hybridMultilevel"/>
    <w:tmpl w:val="31B2C66A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1719"/>
    <w:multiLevelType w:val="multilevel"/>
    <w:tmpl w:val="AADAE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0CB204C"/>
    <w:multiLevelType w:val="hybridMultilevel"/>
    <w:tmpl w:val="6422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720B1"/>
    <w:multiLevelType w:val="hybridMultilevel"/>
    <w:tmpl w:val="B878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97266"/>
    <w:multiLevelType w:val="hybridMultilevel"/>
    <w:tmpl w:val="06BC946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2511D"/>
    <w:multiLevelType w:val="hybridMultilevel"/>
    <w:tmpl w:val="8DE86662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E0E8F"/>
    <w:multiLevelType w:val="hybridMultilevel"/>
    <w:tmpl w:val="B728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821"/>
    <w:multiLevelType w:val="hybridMultilevel"/>
    <w:tmpl w:val="10F83CB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F6D8D"/>
    <w:multiLevelType w:val="multilevel"/>
    <w:tmpl w:val="0770AB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7A7320"/>
    <w:multiLevelType w:val="multilevel"/>
    <w:tmpl w:val="AFA03A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9B3501"/>
    <w:multiLevelType w:val="hybridMultilevel"/>
    <w:tmpl w:val="5AACD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80161"/>
    <w:multiLevelType w:val="multilevel"/>
    <w:tmpl w:val="44A25A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25"/>
  </w:num>
  <w:num w:numId="8">
    <w:abstractNumId w:val="7"/>
  </w:num>
  <w:num w:numId="9">
    <w:abstractNumId w:val="20"/>
  </w:num>
  <w:num w:numId="10">
    <w:abstractNumId w:val="13"/>
  </w:num>
  <w:num w:numId="11">
    <w:abstractNumId w:val="10"/>
  </w:num>
  <w:num w:numId="12">
    <w:abstractNumId w:val="21"/>
  </w:num>
  <w:num w:numId="13">
    <w:abstractNumId w:val="16"/>
  </w:num>
  <w:num w:numId="14">
    <w:abstractNumId w:val="2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1"/>
  </w:num>
  <w:num w:numId="20">
    <w:abstractNumId w:val="8"/>
  </w:num>
  <w:num w:numId="21">
    <w:abstractNumId w:val="4"/>
  </w:num>
  <w:num w:numId="22">
    <w:abstractNumId w:val="6"/>
  </w:num>
  <w:num w:numId="23">
    <w:abstractNumId w:val="22"/>
  </w:num>
  <w:num w:numId="24">
    <w:abstractNumId w:val="14"/>
  </w:num>
  <w:num w:numId="25">
    <w:abstractNumId w:val="19"/>
  </w:num>
  <w:num w:numId="26">
    <w:abstractNumId w:val="23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F8"/>
    <w:rsid w:val="00033D01"/>
    <w:rsid w:val="000B3FD5"/>
    <w:rsid w:val="00163046"/>
    <w:rsid w:val="001B2B1F"/>
    <w:rsid w:val="001C3D6E"/>
    <w:rsid w:val="002A1B85"/>
    <w:rsid w:val="002A31F5"/>
    <w:rsid w:val="002F4677"/>
    <w:rsid w:val="00466CBD"/>
    <w:rsid w:val="005061F8"/>
    <w:rsid w:val="00547D97"/>
    <w:rsid w:val="005C5C3D"/>
    <w:rsid w:val="006D1315"/>
    <w:rsid w:val="007E753E"/>
    <w:rsid w:val="007F7DEE"/>
    <w:rsid w:val="008267D8"/>
    <w:rsid w:val="00851042"/>
    <w:rsid w:val="008D1A0A"/>
    <w:rsid w:val="00955286"/>
    <w:rsid w:val="00A33F32"/>
    <w:rsid w:val="00A75309"/>
    <w:rsid w:val="00A854CD"/>
    <w:rsid w:val="00BA51A5"/>
    <w:rsid w:val="00D00DC6"/>
    <w:rsid w:val="00D53115"/>
    <w:rsid w:val="00E57CA4"/>
    <w:rsid w:val="00F01BFC"/>
    <w:rsid w:val="00F76F51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DF1F4"/>
  <w15:docId w15:val="{781C82B9-8F21-AE4F-93EC-3EDBAD3F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B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F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F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55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309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5309"/>
    <w:rPr>
      <w:rFonts w:ascii="Calibri" w:eastAsia="Calibri" w:hAnsi="Calibri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A854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3017</Words>
  <Characters>18108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2020-12-25T22:11:00Z</dcterms:created>
  <dcterms:modified xsi:type="dcterms:W3CDTF">2021-01-17T16:23:00Z</dcterms:modified>
  <cp:category/>
</cp:coreProperties>
</file>