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6B81" w14:textId="77777777" w:rsidR="00A41BF5" w:rsidRPr="00A854CD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OPIS PRZEDMIOTU ZAMÓWIENIA</w:t>
      </w:r>
    </w:p>
    <w:p w14:paraId="0C71FF2B" w14:textId="77777777" w:rsidR="00A41BF5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SIWZ CZĘŚĆ III</w:t>
      </w:r>
    </w:p>
    <w:p w14:paraId="0C56DD28" w14:textId="643D6E7E" w:rsidR="00A41BF5" w:rsidRPr="00A854CD" w:rsidRDefault="00A41BF5" w:rsidP="00A41BF5">
      <w:pPr>
        <w:jc w:val="center"/>
        <w:rPr>
          <w:b/>
          <w:bCs/>
        </w:rPr>
      </w:pPr>
      <w:r w:rsidRPr="00033D01">
        <w:rPr>
          <w:b/>
          <w:bCs/>
          <w:highlight w:val="yellow"/>
        </w:rPr>
        <w:t xml:space="preserve">MODYFIKACJA Z DNIA </w:t>
      </w:r>
      <w:r>
        <w:rPr>
          <w:b/>
          <w:bCs/>
          <w:highlight w:val="yellow"/>
        </w:rPr>
        <w:t>01.02</w:t>
      </w:r>
      <w:r w:rsidRPr="00033D01">
        <w:rPr>
          <w:b/>
          <w:bCs/>
          <w:highlight w:val="yellow"/>
        </w:rPr>
        <w:t>.2021 r.</w:t>
      </w:r>
    </w:p>
    <w:p w14:paraId="20D572AD" w14:textId="77777777" w:rsidR="00A41BF5" w:rsidRPr="00E5197A" w:rsidRDefault="00A41BF5"/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780"/>
        <w:gridCol w:w="765"/>
        <w:gridCol w:w="765"/>
      </w:tblGrid>
      <w:tr w:rsidR="005061F8" w:rsidRPr="00A41BF5" w14:paraId="6501C2BC" w14:textId="77777777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Ilość</w:t>
            </w:r>
          </w:p>
        </w:tc>
      </w:tr>
      <w:tr w:rsidR="005061F8" w:rsidRPr="00A41BF5" w14:paraId="384E8AE0" w14:textId="77777777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7EC891DA" w:rsidR="005061F8" w:rsidRPr="00A41BF5" w:rsidRDefault="00BD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Projektowe</w:t>
            </w:r>
          </w:p>
        </w:tc>
      </w:tr>
      <w:tr w:rsidR="005061F8" w:rsidRPr="00A41BF5" w14:paraId="2182A6D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A9B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55 cali, rozdzielczość min. 1920x1080, Jasność: min. 300 cd/m2, złącza: 3x HDMI, 2x USB, 1xLAN, żywotność: min. 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5</w:t>
            </w:r>
            <w:r w:rsidRPr="00A41BF5">
              <w:rPr>
                <w:rFonts w:ascii="Verdana" w:hAnsi="Verdana"/>
                <w:sz w:val="18"/>
                <w:szCs w:val="18"/>
              </w:rPr>
              <w:t>0 000 godz., standard montażu: VESA)</w:t>
            </w:r>
          </w:p>
          <w:p w14:paraId="23E5BEBF" w14:textId="77777777" w:rsidR="00C56844" w:rsidRPr="00A41BF5" w:rsidRDefault="00C56844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02D9B144" w14:textId="3FD36620" w:rsidR="00C56844" w:rsidRPr="00A41BF5" w:rsidRDefault="00C56844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7BB2A26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387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15D72BB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012" w14:textId="2B806BB8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3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A96789" w:rsidRPr="00A41BF5" w14:paraId="704846A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1F46" w14:textId="180C2438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885D" w14:textId="3BA39DFE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 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19A5" w14:textId="0EF0EA6D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C22F" w14:textId="79EB720A" w:rsidR="00A96789" w:rsidRPr="00A41BF5" w:rsidRDefault="00E4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zt.</w:t>
            </w:r>
          </w:p>
        </w:tc>
      </w:tr>
      <w:tr w:rsidR="005061F8" w:rsidRPr="00A41BF5" w14:paraId="2E8F1E7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48479E5B" w:rsidR="005061F8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0888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2DE9C07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27FF64EE" w:rsidR="005061F8" w:rsidRPr="00A41BF5" w:rsidRDefault="00A96789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3F928916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Szkoleniowe</w:t>
            </w:r>
            <w:r w:rsidR="00A96789" w:rsidRPr="00A41BF5">
              <w:rPr>
                <w:rFonts w:ascii="Verdana" w:hAnsi="Verdana"/>
                <w:b/>
                <w:sz w:val="18"/>
                <w:szCs w:val="18"/>
              </w:rPr>
              <w:t xml:space="preserve"> A</w:t>
            </w:r>
          </w:p>
        </w:tc>
      </w:tr>
      <w:tr w:rsidR="005061F8" w:rsidRPr="00A41BF5" w14:paraId="14FD44B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9E8" w14:textId="275FB2DB" w:rsidR="00811D61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interaktywny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 (min. 65 cali, rozdzielczość min. </w:t>
            </w:r>
            <w:r w:rsidRPr="00A41BF5">
              <w:rPr>
                <w:rFonts w:ascii="Verdana" w:hAnsi="Verdana"/>
                <w:sz w:val="18"/>
                <w:szCs w:val="18"/>
              </w:rPr>
              <w:t>3840x2160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>, ekran dotykowy, złącza min. 1x HDMI, 1x Ethernet, komunikacja bezprzewodowa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>).</w:t>
            </w:r>
            <w:r w:rsidR="000829B6" w:rsidRPr="00A41BF5">
              <w:rPr>
                <w:rFonts w:ascii="Verdana" w:hAnsi="Verdana"/>
                <w:sz w:val="18"/>
                <w:szCs w:val="18"/>
              </w:rPr>
              <w:t xml:space="preserve"> Komputer wraz z monitorem lub urządzenie z wbudowanym systemem operacyjnym.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98C1C13" w14:textId="6A129C13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2CCAC30" w14:textId="1B22FC7F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Wbudowana lub zewnętrzna kamera podłączona do urządzenia oraz wbudowany lub zewnętrzny mikrofon służące do przeprowadzania wideokonferencji.</w:t>
            </w:r>
          </w:p>
          <w:p w14:paraId="1940E80B" w14:textId="77777777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2B2AC8C" w14:textId="7480B438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>spółpraca z oprogramowaniem do wideokonferencji (m.</w:t>
            </w:r>
            <w:r w:rsidR="00E5197A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in. </w:t>
            </w:r>
            <w:r w:rsidR="00F01BFC" w:rsidRPr="00A41BF5">
              <w:rPr>
                <w:rFonts w:ascii="Verdana" w:hAnsi="Verdana"/>
                <w:sz w:val="18"/>
                <w:szCs w:val="18"/>
                <w:lang w:val="en-US"/>
              </w:rPr>
              <w:t>Zoom, Cisco Webex, MS Teams/Skype)</w:t>
            </w:r>
            <w:r w:rsidR="00811D61" w:rsidRPr="00A41BF5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4D5B10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4213FCAF" w:rsidR="005061F8" w:rsidRPr="00A41BF5" w:rsidRDefault="00E5197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D50" w14:textId="539D7070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Uchwyt ścienny do monitora (standard montażu: VESA), min. udźwig: masa </w:t>
            </w:r>
            <w:r w:rsidR="000829B6" w:rsidRPr="00A41BF5">
              <w:rPr>
                <w:rFonts w:ascii="Verdana" w:hAnsi="Verdana"/>
                <w:sz w:val="18"/>
                <w:szCs w:val="18"/>
              </w:rPr>
              <w:t>monitora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+ 25% zapasu, typ uchwytu: ruchomy (w zakresie: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5E444B8B" w:rsidR="005061F8" w:rsidRPr="00A41BF5" w:rsidRDefault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07AC330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692B9637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11A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2E2849C8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1702A39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42A2F802" w:rsidR="005061F8" w:rsidRPr="00A41BF5" w:rsidRDefault="00E5197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F6B" w14:textId="77777777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7DC3C6B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0BABA898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1E0C" w14:textId="77777777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43726213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9FF5ED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AA1E50E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39B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4710821D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4D4339B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4938" w14:textId="565577C4" w:rsidR="000829B6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9793" w14:textId="56CBE6D6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2x HDMI, 2x USB,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BF05" w14:textId="6763948E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CEE1" w14:textId="4F956F15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7E9F71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BF4F" w14:textId="69F8AE58" w:rsidR="000829B6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22FA" w14:textId="7EF810CD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 2x USB, 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8C2B" w14:textId="5C86CB20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FBB3" w14:textId="572202FB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0BF7478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36DA1FB0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FAFA" w14:textId="530D8DB5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5213BA9D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2568050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6E9A1CAC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A41BF5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875B" w14:textId="7EB3A1CE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71DC573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3B3EBC6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0829B6" w:rsidRPr="00A41BF5" w:rsidRDefault="000829B6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414FC3CD" w14:textId="77777777" w:rsidR="000829B6" w:rsidRPr="00A41BF5" w:rsidRDefault="000829B6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głośniki sufitowe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5F2050EB" w:rsidR="000829B6" w:rsidRPr="00A41BF5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829B6" w:rsidRPr="00A41BF5" w14:paraId="69BBBE6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455CBBCE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25AC8451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5E00926E" w:rsidR="000829B6" w:rsidRPr="00A41BF5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829B6" w:rsidRPr="00A41BF5" w14:paraId="2C23349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68DD220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18E0" w14:textId="371D6089" w:rsidR="000829B6" w:rsidRPr="00A41BF5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Bezprzewodowy system konferencyjny z 12 mikrofonami stołowymi, podłączony do nagłośnienia sufitowego oraz komputera/monitora z wbudowanym systemem operacyjnym w celu przeprowadzania wideokonferencji.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677722C7" w:rsidR="000829B6" w:rsidRPr="00A41BF5" w:rsidRDefault="00E5197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9939096" w14:textId="77777777" w:rsidTr="00A96789"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DFF" w14:textId="197CCE02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31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3F26" w14:textId="34335C6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Sala szkoleniowa B</w:t>
            </w:r>
          </w:p>
        </w:tc>
      </w:tr>
      <w:tr w:rsidR="000829B6" w:rsidRPr="00A41BF5" w14:paraId="3C311F3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829" w14:textId="3C7C9866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787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(przekątna ekranu: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 xml:space="preserve"> min.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65 cali, rozdzielczość min. 3840x2160,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2x USB, 1xLAN, żywotność: min. 50 000 godz., standard montażu: VESA)</w:t>
            </w:r>
            <w:r w:rsidR="00A41BF5" w:rsidRPr="00A41BF5">
              <w:rPr>
                <w:rFonts w:ascii="Verdana" w:hAnsi="Verdana"/>
                <w:sz w:val="18"/>
                <w:szCs w:val="18"/>
              </w:rPr>
              <w:t>.</w:t>
            </w:r>
          </w:p>
          <w:p w14:paraId="34FB1350" w14:textId="77777777" w:rsidR="00A41BF5" w:rsidRPr="00A41BF5" w:rsidRDefault="00A41BF5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5F288CBB" w14:textId="1F20C46C" w:rsidR="00A41BF5" w:rsidRPr="00A41BF5" w:rsidRDefault="00A41BF5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D8D9" w14:textId="43D04015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16E" w14:textId="2737302F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69044F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343B" w14:textId="66B1BDE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94E6" w14:textId="551933A2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 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10BF" w14:textId="42DEBE7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5D62" w14:textId="2FAB90E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F6A387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2200" w14:textId="018ADE1F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4048" w14:textId="212211A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3x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BB50" w14:textId="330BFDD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A588" w14:textId="405F577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FE6A8E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19FF" w14:textId="2EEB183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08A1" w14:textId="31E1F50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</w:t>
            </w:r>
            <w:r w:rsidR="003143FA" w:rsidRPr="00A41BF5">
              <w:rPr>
                <w:rFonts w:ascii="Verdana" w:hAnsi="Verdana"/>
                <w:sz w:val="18"/>
                <w:szCs w:val="18"/>
              </w:rPr>
              <w:t>ą</w:t>
            </w:r>
            <w:r w:rsidRPr="00A41BF5">
              <w:rPr>
                <w:rFonts w:ascii="Verdana" w:hAnsi="Verdana"/>
                <w:sz w:val="18"/>
                <w:szCs w:val="18"/>
              </w:rPr>
              <w:t>cze sygnałowe 3x HDMI,1x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DCC8" w14:textId="5476EE6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CBC3" w14:textId="009AD28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2661530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5BBE" w14:textId="32E5357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726C" w14:textId="573A872C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7BD7" w14:textId="7B6082F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C271" w14:textId="327438C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BB87470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77777777" w:rsidR="000829B6" w:rsidRPr="00A41BF5" w:rsidRDefault="000829B6" w:rsidP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0829B6" w:rsidRPr="00A41BF5" w:rsidRDefault="000829B6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Sala Reprezentatywna</w:t>
            </w:r>
          </w:p>
        </w:tc>
      </w:tr>
      <w:tr w:rsidR="000829B6" w:rsidRPr="00A41BF5" w14:paraId="60EDF1C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440FF0CB" w14:textId="54D83F65" w:rsidR="00E4270A" w:rsidRPr="00A41BF5" w:rsidRDefault="00E4270A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Monitory bezszwowe 21 szt.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wejście i wyjście LAN lub RS232, możliwość zdalnej diagnostyki, wbudowana platforma informacji wizualnej, żywotność nie mniej niż 50 000 godzin, kalibracja kolorów w poszczególnych monitorach, jak również różnic właściwości między połączonymi monitorami.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</w:r>
            <w:r w:rsidR="00F83866" w:rsidRPr="00A41BF5">
              <w:rPr>
                <w:rFonts w:ascii="Verdana" w:hAnsi="Verdana"/>
                <w:sz w:val="18"/>
                <w:szCs w:val="18"/>
              </w:rPr>
              <w:br/>
            </w:r>
            <w:r w:rsidRPr="00A41BF5">
              <w:rPr>
                <w:rFonts w:ascii="Verdana" w:hAnsi="Verdana"/>
                <w:sz w:val="18"/>
                <w:szCs w:val="18"/>
              </w:rPr>
              <w:t>Zamawiający dopuszcza monitor bezszwowy z 1 złączem LAN. W przypadku zastosowania monitora z 1 złączem LAN, monitor powinien posiadać wejściowy i wyjściowy port RS232.</w:t>
            </w:r>
          </w:p>
          <w:p w14:paraId="03B3988B" w14:textId="31812FB5" w:rsidR="000829B6" w:rsidRPr="00A41BF5" w:rsidRDefault="000829B6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Rozmieszczenie monitorów – 3 w pionie, 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7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w poziomie</w:t>
            </w:r>
          </w:p>
          <w:p w14:paraId="165160C2" w14:textId="77777777" w:rsidR="00E4270A" w:rsidRPr="00A41BF5" w:rsidRDefault="00E4270A" w:rsidP="000829B6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monitorów. Estetyczny dół konstrukcji (między podłogą a monitorami)</w:t>
            </w:r>
          </w:p>
          <w:p w14:paraId="7A4EBC51" w14:textId="77777777" w:rsidR="00E4270A" w:rsidRPr="00A41BF5" w:rsidRDefault="00E4270A" w:rsidP="00E4270A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 pełni modułowy i skalowalny system prezentacji wieloekranowej 4K / 8K oraz procesor wideo.</w:t>
            </w:r>
          </w:p>
          <w:p w14:paraId="0C7974DF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wejść ze złączami HDMI 2.0, każde obsługujące do 4K60p 8-bitowe 4:4:4 lub do 4K60p 12-bitowe 4:2:2 lub do 4K30p 12-bitowe 4:4:4 </w:t>
            </w:r>
          </w:p>
          <w:p w14:paraId="046AD91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wyjść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1.2, każde obsługujące do 4K60p 10-bitowego 4:4:4 lub do 4K60p 12-bitowego 4:2:2 </w:t>
            </w:r>
          </w:p>
          <w:p w14:paraId="12A2D4B6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dodatkowe 2 dedykowane wyjścia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Multiviewer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HDMI 2.0</w:t>
            </w:r>
          </w:p>
          <w:p w14:paraId="4F513D37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Niezawodność klasy przemysłowej (nie dopuszcza się zastosowania toru procesora obrazu opartego o system PC z systemem operacyjnym typu Windows), </w:t>
            </w:r>
          </w:p>
          <w:p w14:paraId="5FC4C0CF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łatwość obsługi: wbudowany intuicyjny interfejs oparty na HTML5 z funkcją przeciągania i upuszczania, z miniaturami wideo na żywo, współpracą w czasie rzeczywistym z wieloma operatorami; wymagany interfejs do współpracy z zainstalowanym w Sali systemem sterowania  </w:t>
            </w:r>
          </w:p>
          <w:p w14:paraId="1099569D" w14:textId="0A369706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moc przetwarzania wideo w czasie rzeczywistym 10/12-bit 4:4:4, jakość obrazu 4K60p na każdym wejściu i wyjściu z bardzo niskim opóźnieniem poniżej dwóch klatek.</w:t>
            </w:r>
          </w:p>
          <w:p w14:paraId="4C4CDC3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Kompatybilny z HDCP 1.4. i HDCP 2.2</w:t>
            </w:r>
          </w:p>
          <w:p w14:paraId="3D7EE74D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min. 4 warstwy dla sygnałów 4K</w:t>
            </w:r>
          </w:p>
          <w:p w14:paraId="2860DB07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Źródłem warstwy może być wejście na żywo, nieruchomy obraz lub dowolny z wbudowanych zegarów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timerów</w:t>
            </w:r>
            <w:proofErr w:type="spellEnd"/>
          </w:p>
          <w:p w14:paraId="3847AB37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Źródłem tła może być nieruchomy obraz lub źródło na żywo</w:t>
            </w:r>
          </w:p>
          <w:p w14:paraId="017AB06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Efekty wideo: Przejścia: wycinanie, ściemnianie, przesuwanie, wycieranie; Efekty warstw: Wycinanie tła, Przezroczystość,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Luma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/ Chroma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, H&amp;V Flip,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Cut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Fill</w:t>
            </w:r>
            <w:proofErr w:type="spellEnd"/>
          </w:p>
          <w:p w14:paraId="681D35E4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Dowolne nieużywane wyjście konfigurowalne jako skalowane pomocnicze wyjście 4K60p do wyświetlania dowolnego wejścia, ekranu (1:1 lub skalowanego) </w:t>
            </w:r>
          </w:p>
          <w:p w14:paraId="4BCB4CF9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Natywna sieć Dante™ Audio (Usuwanie/osadzanie dźwięku na każdym wejściu i wyjściu 64x64 kanały Dante™ przy 48 kHz) </w:t>
            </w:r>
          </w:p>
          <w:p w14:paraId="4D2C9E81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Podwójne redundancyjne porty Ethernet dla Dante, obsługa AES67</w:t>
            </w:r>
          </w:p>
          <w:p w14:paraId="79DDA9E6" w14:textId="78D45312" w:rsidR="000829B6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Wymagane redundantne zasilanie urządzenia.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829B6" w:rsidRPr="00A41BF5" w14:paraId="2717B3C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68EB" w14:textId="706FAB9A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2x USB, 1xLAN, żywotność: min. 50 000 godz., standard montażu: VESA). Przył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>ą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cze HDMI monitora. </w:t>
            </w:r>
          </w:p>
          <w:p w14:paraId="071716E7" w14:textId="77777777" w:rsidR="00F83866" w:rsidRPr="00A41BF5" w:rsidRDefault="00F83866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6D0319" w14:textId="60A1728A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Zamawiający dopuszcza zastosowanie monitora bez złącza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 W takim przypadku w celu wyświetlenia sygnału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konwerter i wepnie w jedno z trzech złącz HDMI.</w:t>
            </w:r>
          </w:p>
          <w:p w14:paraId="0E50EF64" w14:textId="77777777" w:rsidR="00F83866" w:rsidRPr="00A41BF5" w:rsidRDefault="00F83866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EFA9A8" w14:textId="2CB3F1D3" w:rsidR="000829B6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541871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AC71" w14:textId="5F148DEB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6000Lm, żywotność min. 20 000 godzin)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2E1D5A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A952" w14:textId="3BFDF7C8" w:rsidR="000829B6" w:rsidRPr="00A41BF5" w:rsidRDefault="00E4270A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3BD4B8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1512" w14:textId="04D7536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1857EC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DBAA" w14:textId="7F6BBA6E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2D662676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5DF4A9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7F89" w14:textId="13B67305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5F05A33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7823" w14:textId="6AED47F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A684" w14:textId="5B5301E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A97" w14:textId="1A7D0DB5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9504" w14:textId="3D0781F7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BE554D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D92E" w14:textId="2BEDFE7C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B6E3" w14:textId="77777777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Nadajnik transmisyjny 2x HDMI 4K (4096x2160) po skrętce,</w:t>
            </w:r>
          </w:p>
          <w:p w14:paraId="6362AB00" w14:textId="7151E73F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 automatycznym przełącznikiem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 Porty Ethernet, RS232, USB do klawiatury / myszy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116A" w14:textId="0E1D075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F75C" w14:textId="7FDB97BF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3960CE4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E8DD" w14:textId="513C9D9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2945" w14:textId="176CF0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Odbiornik transmisyjny HDMI 4K (4096x2160) po skrętce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 RS232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24BD" w14:textId="2659743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5D6C" w14:textId="7286526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5CF1BE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5B2B" w14:textId="4C55447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6C5F" w14:textId="7971FC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33A0" w14:textId="769B0DA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8D65" w14:textId="1585AA3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C0FB63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38FE912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6780" w14:textId="6B64206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(±3dB), maksymalne SPL: min. 115dB,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605DDD0E" w:rsidR="000829B6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401A19C1" w14:textId="77777777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61A210F5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146E" w14:textId="2B207265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Kolumna głośnikowa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zbudowana w oparciu o min. 22 przetworniki min. 1.5", moc szczytowa min. 440W przy 8Ω, poziom SPL min. 116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SPL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F4C139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1818539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6B2CC37D" w14:textId="77777777" w:rsidR="00E4270A" w:rsidRPr="00A41BF5" w:rsidRDefault="00E4270A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odbiorniki dla mikrofonów</w:t>
            </w:r>
          </w:p>
          <w:p w14:paraId="2D0D6402" w14:textId="4FD2F5CE" w:rsidR="000829B6" w:rsidRPr="00A41BF5" w:rsidRDefault="000829B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58223E75" w14:textId="77777777" w:rsidR="000829B6" w:rsidRPr="00A41BF5" w:rsidRDefault="000829B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 xml:space="preserve">2 typu mikrofony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  <w:p w14:paraId="6AF6BAF8" w14:textId="05174EB7" w:rsidR="00E4270A" w:rsidRPr="00A41BF5" w:rsidRDefault="00F8386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a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 xml:space="preserve">ktywny </w:t>
            </w:r>
            <w:proofErr w:type="spellStart"/>
            <w:r w:rsidR="00E4270A" w:rsidRPr="00A41BF5">
              <w:rPr>
                <w:rFonts w:ascii="Verdana" w:hAnsi="Verdana"/>
                <w:sz w:val="18"/>
                <w:szCs w:val="18"/>
              </w:rPr>
              <w:t>spliter</w:t>
            </w:r>
            <w:proofErr w:type="spellEnd"/>
            <w:r w:rsidR="00E4270A" w:rsidRPr="00A41BF5">
              <w:rPr>
                <w:rFonts w:ascii="Verdana" w:hAnsi="Verdana"/>
                <w:sz w:val="18"/>
                <w:szCs w:val="18"/>
              </w:rPr>
              <w:t xml:space="preserve"> antenowy 4 odbiorników</w:t>
            </w:r>
          </w:p>
          <w:p w14:paraId="75C26D00" w14:textId="1020E521" w:rsidR="00E4270A" w:rsidRPr="00A41BF5" w:rsidRDefault="00E4270A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 anteny dookólne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4270A" w:rsidRPr="00A41BF5" w14:paraId="6D46FDA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B2D" w14:textId="5BF61CA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1ED6" w14:textId="55C08ED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audio min. 12 wejść, min. 8 wyjść, wsparcie DANTE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C824" w14:textId="6A33794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E318" w14:textId="01132A9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7B659D7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41F6" w14:textId="418BDF2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5BFF" w14:textId="0BBBC43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Wzmacniacz mocy dla zestawów głośnikowych trójdrożnych, moc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wzmacniacza adekwatna do oferowanych zestawów głośnikowych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397B" w14:textId="51648B6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045" w14:textId="3913F587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8449D3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321" w14:textId="68F45F55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A4D3" w14:textId="5E4D2A81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Wzmacniacz mocy dla kolumn głośnikowych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moc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w</w:t>
            </w:r>
            <w:r w:rsidRPr="00A41BF5">
              <w:rPr>
                <w:rFonts w:ascii="Verdana" w:hAnsi="Verdana"/>
                <w:sz w:val="18"/>
                <w:szCs w:val="18"/>
              </w:rPr>
              <w:t>zmacniacza adekwatna do oferowanych zestawów głośnikowych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F019" w14:textId="4DBEFFB4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076" w14:textId="5F22D39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BB913E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2D37" w14:textId="7468A61D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5AB8" w14:textId="4890A90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Rejestrator sygnałów AV na karcie SD lub dysku SSD, streamer. Obsługa rozdzielczości 1920×1200, kodek video: H.264/AVC. Wejścia min. HDMI, SDI, USB3.0, 2x XLR Audio, USB, RJ45. Wyjście HDMI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001E" w14:textId="561C9EA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2604" w14:textId="54556C26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DF12A5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22D5" w14:textId="0586919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2C08" w14:textId="2D552573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02E8" w14:textId="6C22C192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2325" w14:textId="4DF76981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5261261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2F84" w14:textId="3A37F49F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ACD9" w14:textId="54DF470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transmisji sygnałowej HDMI po skrętce, rozdzielczość min. 3840x2160 przy 60Hz, kodowanie 4:2:0, wsparcie min. HDCP 2.2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41BF5">
              <w:rPr>
                <w:rFonts w:ascii="Verdana" w:hAnsi="Verdana"/>
                <w:sz w:val="18"/>
                <w:szCs w:val="18"/>
              </w:rPr>
              <w:t>dopuszczalna odległość transmisji min. 40m, komplet nadajnika i odbiornika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EF20" w14:textId="14B50A4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86D9" w14:textId="3AFFE039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4270A" w:rsidRPr="00A41BF5" w14:paraId="0ED5B08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6850" w14:textId="76C1FA7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B4DC" w14:textId="286EA11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System transmisji sygnałowej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 po światłowodzie, min. 3840x2160 przy 60Hz, kodowanie 4:4:4, wsparcie min. HDCP 2.2, komplet nadajnika i odbiornika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0FB3" w14:textId="0549C2F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D36" w14:textId="1D5F7F22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4270A" w:rsidRPr="00A41BF5" w14:paraId="7B39DAB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1B4" w14:textId="667CA53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44E2" w14:textId="3C496A4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Klawiatura ścienna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5850" w14:textId="739CF3EB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B01B" w14:textId="3540D56E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8385A9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8BC9" w14:textId="436E834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7AB4" w14:textId="3B5A30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Dotykowy 7" panel sterujący, rozdzielczość min. 1280x800, jasność min. 330 cd/m², kontrast min. 800:1, pamięć RAM: min 2 GB, Ethernet, wsparcie kodeków H.264, MJPEG, interkom, mikrofon i głośnik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3FAF" w14:textId="245C123F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CC75" w14:textId="057DB93E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7B6F91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A553" w14:textId="0A3A792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6A20" w14:textId="2105712D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min. 2x RS232/RS422/RS485, 4x RS232,8x IR, 8x I/O, Ethernet,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29A" w14:textId="1B7790D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9188" w14:textId="33FFB4E8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FF2094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4D76" w14:textId="03BD588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7ABE" w14:textId="397D172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Szafa sprzętowa, akcesoria szafy sprzętowej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7A73" w14:textId="73CBF78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8D28" w14:textId="72E4E32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7A5940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C926" w14:textId="45A1228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A745" w14:textId="44EB0E8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na szynę DIN, min. 2x RS232/RS422/RS485, 4x IR, 4x I/O, Ethernet,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F48F" w14:textId="51EBC7B4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DA69" w14:textId="5D59318F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3E9E1EF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7836" w14:textId="6821D5BD" w:rsidR="00E4270A" w:rsidRPr="00A41BF5" w:rsidRDefault="00E4525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  <w:r w:rsid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646" w14:textId="2DE07CD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Switch LAN 48 portów,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4049" w14:textId="38E02368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6BA" w14:textId="54C5355B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4270A" w:rsidRPr="00A41BF5" w14:paraId="4BDD84A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7BE2" w14:textId="7FAA7F22" w:rsidR="00E4270A" w:rsidRPr="00A41BF5" w:rsidRDefault="00A41BF5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5A81" w14:textId="05F0335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Montaż urządzeń AV, kalibracja ściany graficznej, programowanie systemu sterowania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D2B1" w14:textId="2C9CCA6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340" w14:textId="00682A5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829B6" w:rsidRPr="00A41BF5" w14:paraId="3E1C0AEE" w14:textId="77777777" w:rsidTr="00955286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0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Sieć</w:t>
            </w:r>
          </w:p>
        </w:tc>
      </w:tr>
      <w:tr w:rsidR="000829B6" w:rsidRPr="00A41BF5" w14:paraId="577BF33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0829B6" w:rsidRPr="00A41BF5" w:rsidRDefault="000829B6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0829B6" w:rsidRPr="00A41BF5" w:rsidRDefault="000829B6" w:rsidP="000829B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być zarządzane centralnie za pomocą kontrolera.</w:t>
            </w:r>
          </w:p>
          <w:p w14:paraId="148F8C6A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Urządzenie ma wspierać protokół CAPWAP.</w:t>
            </w:r>
          </w:p>
          <w:p w14:paraId="3DF62479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Ruch z punktu dostępowego powinien być tunelowany do kontrolera.</w:t>
            </w:r>
          </w:p>
          <w:p w14:paraId="117BCF52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40-, 80- MHz</w:t>
            </w:r>
          </w:p>
          <w:p w14:paraId="77E57D90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OFDMA</w:t>
            </w:r>
          </w:p>
          <w:p w14:paraId="02B8D0D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wsparcie:</w:t>
            </w:r>
          </w:p>
          <w:p w14:paraId="6F2B3203" w14:textId="72CB5BAC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AE39BE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0829B6" w:rsidRPr="00A41BF5" w:rsidRDefault="000829B6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trybów: Routera z funkcją NAT, transparentnym oraz monitorowania na porcie SPAN. </w:t>
            </w:r>
          </w:p>
          <w:p w14:paraId="159C4C7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posiadać wbudowany port konsoli szeregowej oraz gniazdo USB.</w:t>
            </w:r>
          </w:p>
          <w:p w14:paraId="42E3C8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Firewall powinna być możliwość zdefiniowania co najmniej 200 interfejsów wirtualnych -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definiowanych jako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zawartości poczty –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Tworzenie połączeń typu Site-to-Site oraz Client-to-Site.</w:t>
            </w:r>
          </w:p>
          <w:p w14:paraId="02DFD66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Monitorowanie stanu tuneli VPN i stałego utrzymywania ich aktywności.</w:t>
            </w:r>
          </w:p>
          <w:p w14:paraId="5369DE5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Mechanizm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możliwość zarządzania pasmem dla wybranych kategorii URL.</w:t>
            </w:r>
          </w:p>
          <w:p w14:paraId="5FE55467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Silnik antywirusowy musi umożliwiać skanowanie ruchu w obu kierunkach komunikacji dla protokołów działających na niestandardowych portach.</w:t>
            </w:r>
          </w:p>
          <w:p w14:paraId="3942DFE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powinien chronić przed atakami na aplikacje pracujące na niestandardowych portach.</w:t>
            </w:r>
          </w:p>
          <w:p w14:paraId="1725F93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45E93D5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zapewniać wykrywanie anomalii protokołów i ruchu sieciowego, realizując tym samym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podstawową ochronę przed atakami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Administrator systemu musi mieć możliwość definiowania wyjątków oraz własnych sygnatur. </w:t>
            </w:r>
          </w:p>
          <w:p w14:paraId="73B3785A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560F8AD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14:paraId="2BE9DDA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Komunikacja systemów zabezpieczeń z platformami  centralnego zarządzania musi być realizowana z wykorzystaniem szyfrowanych protokołów.</w:t>
            </w:r>
          </w:p>
          <w:p w14:paraId="602DA3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podglądu pakietów, monitorowanie procesowania sesji oraz stanu sesji firewall.</w:t>
            </w:r>
          </w:p>
          <w:p w14:paraId="0DA26E6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471C2D5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</w:t>
            </w:r>
            <w:r w:rsidR="00A41BF5"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t>zabezpieczonej, komercyjnej platformy sprzętowej lub programowej.</w:t>
            </w:r>
          </w:p>
          <w:p w14:paraId="33878AA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3730ACA0" w14:textId="79859A55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okres 36 miesięcy, polegającym na naprawie lub wymianie urządzenia w przypadku jego wadliwości. W ramach tego serwisu producent musi zapewniać również dostęp do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6DB2E8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0829B6" w:rsidRPr="00A41BF5" w:rsidRDefault="000829B6" w:rsidP="000829B6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transfer 12Gb/s, wspierane systemy: Linux,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 do zarządzania zdalnego (w wersji Enterprise) z dedykowanym portem,</w:t>
            </w:r>
          </w:p>
          <w:p w14:paraId="2CFADCA5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</w:p>
          <w:p w14:paraId="0E0F484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3 lata NBD,</w:t>
            </w:r>
          </w:p>
          <w:p w14:paraId="7CCC3E5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zachowanie dysków twardych - w przypadku awarii uszkodzone dyski zostają u klienta - 3 lata,</w:t>
            </w:r>
          </w:p>
          <w:p w14:paraId="16E61310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obudowa: 1U,</w:t>
            </w:r>
          </w:p>
          <w:p w14:paraId="6F29D199" w14:textId="2AE4643C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</w:tbl>
    <w:p w14:paraId="0E5DA025" w14:textId="1420E484" w:rsidR="005061F8" w:rsidRPr="00E5197A" w:rsidRDefault="005061F8"/>
    <w:p w14:paraId="48F198B8" w14:textId="1F042EBC" w:rsidR="00253A9B" w:rsidRPr="00E5197A" w:rsidRDefault="00253A9B">
      <w:r w:rsidRPr="00E5197A">
        <w:t xml:space="preserve"> </w:t>
      </w:r>
    </w:p>
    <w:sectPr w:rsidR="00253A9B" w:rsidRPr="00E5197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3D53" w14:textId="77777777" w:rsidR="00A41BF5" w:rsidRDefault="00A41BF5" w:rsidP="00A41BF5">
      <w:pPr>
        <w:spacing w:line="240" w:lineRule="auto"/>
      </w:pPr>
      <w:r>
        <w:separator/>
      </w:r>
    </w:p>
  </w:endnote>
  <w:endnote w:type="continuationSeparator" w:id="0">
    <w:p w14:paraId="7B2A4665" w14:textId="77777777" w:rsidR="00A41BF5" w:rsidRDefault="00A41BF5" w:rsidP="00A4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926F" w14:textId="77777777" w:rsidR="00A41BF5" w:rsidRDefault="00A41BF5" w:rsidP="00A41BF5">
      <w:pPr>
        <w:spacing w:line="240" w:lineRule="auto"/>
      </w:pPr>
      <w:r>
        <w:separator/>
      </w:r>
    </w:p>
  </w:footnote>
  <w:footnote w:type="continuationSeparator" w:id="0">
    <w:p w14:paraId="0CE89F8D" w14:textId="77777777" w:rsidR="00A41BF5" w:rsidRDefault="00A41BF5" w:rsidP="00A4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C4BB" w14:textId="38F3DE60" w:rsidR="00A41BF5" w:rsidRDefault="00A41BF5" w:rsidP="00A41BF5">
    <w:pPr>
      <w:pStyle w:val="Nagwek"/>
      <w:tabs>
        <w:tab w:val="left" w:pos="465"/>
      </w:tabs>
    </w:pPr>
    <w:r>
      <w:tab/>
    </w:r>
    <w:r>
      <w:tab/>
    </w:r>
    <w:r w:rsidRPr="00A743AD">
      <w:rPr>
        <w:noProof/>
        <w:sz w:val="12"/>
        <w:szCs w:val="12"/>
      </w:rPr>
      <w:drawing>
        <wp:inline distT="0" distB="0" distL="0" distR="0" wp14:anchorId="19C9162D" wp14:editId="52647A03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4CD">
      <w:t>3/PN/2020</w:t>
    </w:r>
    <w:r w:rsidRPr="00A854CD">
      <w:tab/>
    </w:r>
    <w:r w:rsidRPr="00A854CD">
      <w:tab/>
      <w:t>SIWZ</w:t>
    </w:r>
    <w:r>
      <w:t xml:space="preserve"> cz. III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829B6"/>
    <w:rsid w:val="000B3FD5"/>
    <w:rsid w:val="00163046"/>
    <w:rsid w:val="001B2B1F"/>
    <w:rsid w:val="001C3D6E"/>
    <w:rsid w:val="00253A9B"/>
    <w:rsid w:val="002A31F5"/>
    <w:rsid w:val="002F4677"/>
    <w:rsid w:val="003143FA"/>
    <w:rsid w:val="003F6A57"/>
    <w:rsid w:val="00427AC5"/>
    <w:rsid w:val="00466CBD"/>
    <w:rsid w:val="00496793"/>
    <w:rsid w:val="005061F8"/>
    <w:rsid w:val="00547D97"/>
    <w:rsid w:val="005C5C3D"/>
    <w:rsid w:val="006D1315"/>
    <w:rsid w:val="00733C7F"/>
    <w:rsid w:val="00746091"/>
    <w:rsid w:val="007E753E"/>
    <w:rsid w:val="00811D61"/>
    <w:rsid w:val="00821063"/>
    <w:rsid w:val="00851042"/>
    <w:rsid w:val="00955286"/>
    <w:rsid w:val="00965800"/>
    <w:rsid w:val="009A2A4C"/>
    <w:rsid w:val="00A33F32"/>
    <w:rsid w:val="00A41BF5"/>
    <w:rsid w:val="00A75309"/>
    <w:rsid w:val="00A96789"/>
    <w:rsid w:val="00BD76E0"/>
    <w:rsid w:val="00C56844"/>
    <w:rsid w:val="00D00DC6"/>
    <w:rsid w:val="00D53115"/>
    <w:rsid w:val="00E4270A"/>
    <w:rsid w:val="00E45256"/>
    <w:rsid w:val="00E5197A"/>
    <w:rsid w:val="00E57CA4"/>
    <w:rsid w:val="00F01BFC"/>
    <w:rsid w:val="00F76F51"/>
    <w:rsid w:val="00F83866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1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3B1E0-29C0-7846-8708-633AB58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3523</Words>
  <Characters>21142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2021-01-31T23:50:00Z</dcterms:created>
  <dcterms:modified xsi:type="dcterms:W3CDTF">2021-01-31T23:50:00Z</dcterms:modified>
  <cp:category/>
</cp:coreProperties>
</file>